
<file path=[Content_Types].xml><?xml version="1.0" encoding="utf-8"?>
<Types xmlns="http://schemas.openxmlformats.org/package/2006/content-types">
  <Default Extension="rels" ContentType="application/vnd.openxml-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Small"/>
      </w:pPr>
      <w:r>
        <w:rPr>
          <w:b/>
          <w:color w:val="8A5A2B"/>
        </w:rPr>
        <w:t xml:space="preserve">ANAY CONSULTANTS &amp; ENGINEERS</w:t>
      </w:r>
      <w:r>
        <w:rPr>
          <w:color w:val="8A5A2B"/>
        </w:rPr>
        <w:t xml:space="preserve"/>
      </w:r>
    </w:p>
    <w:p>
      <w:pPr>
        <w:pStyle w:val="Small"/>
      </w:pPr>
      <w:r>
        <w:rPr>
          <w:color w:val="5A6469"/>
        </w:rPr>
        <w:t xml:space="preserve">03  |  ACE SERVICE GUIDE</w:t>
      </w:r>
    </w:p>
    <w:p>
      <w:pPr>
        <w:pStyle w:val="Title"/>
      </w:pPr>
      <w:r>
        <w:t xml:space="preserve">Surveying &amp; Geospatial</w:t>
      </w:r>
    </w:p>
    <w:p>
      <w:pPr>
        <w:pStyle w:val="Subtitle"/>
      </w:pPr>
      <w:r>
        <w:t xml:space="preserve">Control, topography, alignments and mapping — the geometry everything else is built on.</w:t>
      </w:r>
    </w:p>
    <w:p>
      <w:pPr>
        <w:pStyle w:val="Small"/>
      </w:pPr>
      <w:r>
        <w:t xml:space="preserve">Prepared for service communication, technical briefing and project scoping</w:t>
      </w:r>
    </w:p>
    <w:p>
      <w:pPr>
        <w:pStyle w:val="Small"/>
      </w:pPr>
      <w:r>
        <w:t xml:space="preserve">Version 1.0  |  17 October 2026  |  Indore, Madhya Pradesh</w:t>
      </w:r>
    </w:p>
    <w:p>
      <w:pPr>
        <w:pStyle w:val="Note"/>
      </w:pPr>
      <w:r>
        <w:rPr>
          <w:b/>
          <w:color w:val="8A5A2B"/>
        </w:rPr>
        <w:t>Important: </w:t>
      </w:r>
      <w:r>
        <w:rPr>
          <w:i/>
          <w:color w:val="5A4635"/>
        </w:rPr>
        <w:t xml:space="preserve">This guide is a detailed service description, not a statutory approval, accreditation certificate, legal opinion or guarantee of project outcome. Applicable standards, permissions, accreditation scope and deliverables must be confirmed for the specific assignment.</w:t>
      </w:r>
    </w:p>
    <w:p>
      <w:pPr>
        <w:pStyle w:val="Normal"/>
      </w:pPr>
      <w:r>
        <w:br w:type="page"/>
      </w:r>
    </w:p>
    <w:p>
      <w:pPr>
        <w:pStyle w:val="Heading1"/>
        <w:keepNext/>
      </w:pPr>
      <w:r>
        <w:t xml:space="preserve">1. Service overview</w:t>
      </w:r>
    </w:p>
    <w:p>
      <w:pPr>
        <w:pStyle w:val="Normal"/>
      </w:pPr>
      <w:r>
        <w:t xml:space="preserve">Every DPR, earthwork quantity, alignment decision and as-built record starts with a survey that defines where the project is and how accurately it has been measured. ACE coordinates field and geospatial outputs around the client’s coordinate system, accuracy requirement and final design use.</w:t>
      </w:r>
    </w:p>
    <w:p>
      <w:pPr>
        <w:pStyle w:val="Normal"/>
      </w:pPr>
      <w:r>
        <w:t xml:space="preserve">The service can include reconnaissance, GNSS or DGPS control, total-station and levelling surveys, topography, contours, corridor alignments, profiles, cross-sections, UAV photogrammetry, orthomosaics, terrain models, volumetric analysis, GIS layers and as-built verification.</w:t>
      </w:r>
    </w:p>
    <w:p>
      <w:pPr>
        <w:pStyle w:val="Normal"/>
      </w:pPr>
      <w:r>
        <w:t xml:space="preserve">A drone image is not automatically a survey. Ground control, check points, an agreed coordinate reference, documented accuracy and the required permissions are what make a geospatial product suitable for measured design, quantity or compliance work.</w:t>
      </w:r>
    </w:p>
    <w:p>
      <w:pPr>
        <w:pStyle w:val="Heading1"/>
        <w:keepNext/>
      </w:pPr>
      <w:r>
        <w:t xml:space="preserve">2. Scope of work</w:t>
      </w:r>
    </w:p>
    <w:p>
      <w:pPr>
        <w:pStyle w:val="Normal"/>
      </w:pPr>
      <w:r>
        <w:t xml:space="preserve">The survey brief fixes the area, coordinate reference, datum, benchmarks, accuracy, feature list, deliverable formats, access limits, safety controls, flight restrictions and intended design or measurement use before fieldwork begins.</w:t>
      </w:r>
    </w:p>
    <w:p>
      <w:pPr>
        <w:pStyle w:val="Normal"/>
      </w:pPr>
      <w:r>
        <w:t xml:space="preserve">Fieldwork may combine reconnaissance, GNSS or traverse control, total-station detail, levels, corridor chainage, cross-sections, UAV imagery and site or asset inventories. The method is selected for the terrain, obstruction, accuracy, access and project decision rather than for the instrument name alone.</w:t>
      </w:r>
    </w:p>
    <w:p>
      <w:pPr>
        <w:pStyle w:val="Normal"/>
      </w:pPr>
      <w:r>
        <w:t xml:space="preserve">Processing includes quality checks against control and independent check points. The final package can be issued as CAD, GIS, DTM, surface, profile, orthomosaic, point-cloud, volume, as-built or tabular output in the format specified by the designer, owner or authority.</w:t>
      </w:r>
    </w:p>
    <w:p>
      <w:pPr>
        <w:pStyle w:val="Heading1"/>
        <w:keepNext/>
      </w:pPr>
      <w:r>
        <w:t xml:space="preserve">3. Detailed service components</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3000"/>
        <w:gridCol w:w="6900"/>
      </w:tblGrid>
      <w:tr>
        <w:tc>
          <w:tcPr>
            <w:tcW w:w="3000" w:type="dxa"/>
            <w:shd w:fill="193B4A"/>
          </w:tcPr>
          <w:p>
            <w:pPr>
              <w:pStyle w:val="TableHeader"/>
            </w:pPr>
            <w:r>
              <w:rPr>
                <w:color w:val="FFFFFF"/>
              </w:rPr>
              <w:t xml:space="preserve">Service component</w:t>
            </w:r>
          </w:p>
        </w:tc>
        <w:tc>
          <w:tcPr>
            <w:tcW w:w="6900" w:type="dxa"/>
            <w:shd w:fill="193B4A"/>
          </w:tcPr>
          <w:p>
            <w:pPr>
              <w:pStyle w:val="TableHeader"/>
            </w:pPr>
            <w:r>
              <w:rPr>
                <w:color w:val="FFFFFF"/>
              </w:rPr>
              <w:t xml:space="preserve">What the assignment may include</w:t>
            </w:r>
          </w:p>
        </w:tc>
      </w:tr>
      <w:tr>
        <w:tc>
          <w:tcPr>
            <w:tcW w:w="3000" w:type="dxa"/>
          </w:tcPr>
          <w:p>
            <w:pPr>
              <w:pStyle w:val="TableText"/>
            </w:pPr>
            <w:r>
              <w:rPr>
                <w:color w:val="25323A"/>
              </w:rPr>
              <w:t xml:space="preserve">Reconnaissance and survey control</w:t>
            </w:r>
          </w:p>
        </w:tc>
        <w:tc>
          <w:tcPr>
            <w:tcW w:w="6900" w:type="dxa"/>
          </w:tcPr>
          <w:p>
            <w:pPr>
              <w:pStyle w:val="TableText"/>
            </w:pPr>
            <w:r>
              <w:rPr>
                <w:color w:val="25323A"/>
              </w:rPr>
              <w:t xml:space="preserve">Review the brief, establish or connect benchmarks and GNSS/traverse control, document the coordinate basis and plan independent checks.</w:t>
            </w:r>
          </w:p>
        </w:tc>
      </w:tr>
      <w:tr>
        <w:tc>
          <w:tcPr>
            <w:tcW w:w="3000" w:type="dxa"/>
          </w:tcPr>
          <w:p>
            <w:pPr>
              <w:pStyle w:val="TableText"/>
            </w:pPr>
            <w:r>
              <w:rPr>
                <w:color w:val="25323A"/>
              </w:rPr>
              <w:t xml:space="preserve">Topographic and contour survey</w:t>
            </w:r>
          </w:p>
        </w:tc>
        <w:tc>
          <w:tcPr>
            <w:tcW w:w="6900" w:type="dxa"/>
          </w:tcPr>
          <w:p>
            <w:pPr>
              <w:pStyle w:val="TableText"/>
            </w:pPr>
            <w:r>
              <w:rPr>
                <w:color w:val="25323A"/>
              </w:rPr>
              <w:t xml:space="preserve">Capture terrain, structures, roads, drains, utilities visible at the surface, boundaries and other agreed features for site and design work.</w:t>
            </w:r>
          </w:p>
        </w:tc>
      </w:tr>
      <w:tr>
        <w:tc>
          <w:tcPr>
            <w:tcW w:w="3000" w:type="dxa"/>
          </w:tcPr>
          <w:p>
            <w:pPr>
              <w:pStyle w:val="TableText"/>
            </w:pPr>
            <w:r>
              <w:rPr>
                <w:color w:val="25323A"/>
              </w:rPr>
              <w:t xml:space="preserve">Highway, railway and canal alignment</w:t>
            </w:r>
          </w:p>
        </w:tc>
        <w:tc>
          <w:tcPr>
            <w:tcW w:w="6900" w:type="dxa"/>
          </w:tcPr>
          <w:p>
            <w:pPr>
              <w:pStyle w:val="TableText"/>
            </w:pPr>
            <w:r>
              <w:rPr>
                <w:color w:val="25323A"/>
              </w:rPr>
              <w:t xml:space="preserve">Collect centreline, chainage, longitudinal levels, cross-sections, structures, crossings, right-of-way features and corridor constraints.</w:t>
            </w:r>
          </w:p>
        </w:tc>
      </w:tr>
      <w:tr>
        <w:tc>
          <w:tcPr>
            <w:tcW w:w="3000" w:type="dxa"/>
          </w:tcPr>
          <w:p>
            <w:pPr>
              <w:pStyle w:val="TableText"/>
            </w:pPr>
            <w:r>
              <w:rPr>
                <w:color w:val="25323A"/>
              </w:rPr>
              <w:t xml:space="preserve">GNSS, total station and levelling</w:t>
            </w:r>
          </w:p>
        </w:tc>
        <w:tc>
          <w:tcPr>
            <w:tcW w:w="6900" w:type="dxa"/>
          </w:tcPr>
          <w:p>
            <w:pPr>
              <w:pStyle w:val="TableText"/>
            </w:pPr>
            <w:r>
              <w:rPr>
                <w:color w:val="25323A"/>
              </w:rPr>
              <w:t xml:space="preserve">Use the appropriate field method for control, detail, set-out, profiles, construction checks and as-built verification.</w:t>
            </w:r>
          </w:p>
        </w:tc>
      </w:tr>
      <w:tr>
        <w:tc>
          <w:tcPr>
            <w:tcW w:w="3000" w:type="dxa"/>
          </w:tcPr>
          <w:p>
            <w:pPr>
              <w:pStyle w:val="TableText"/>
            </w:pPr>
            <w:r>
              <w:rPr>
                <w:color w:val="25323A"/>
              </w:rPr>
              <w:t xml:space="preserve">UAV photogrammetry</w:t>
            </w:r>
          </w:p>
        </w:tc>
        <w:tc>
          <w:tcPr>
            <w:tcW w:w="6900" w:type="dxa"/>
          </w:tcPr>
          <w:p>
            <w:pPr>
              <w:pStyle w:val="TableText"/>
            </w:pPr>
            <w:r>
              <w:rPr>
                <w:color w:val="25323A"/>
              </w:rPr>
              <w:t xml:space="preserve">Plan legal and safe flights, place or verify ground-control and check points, capture imagery and process orthomosaics, surfaces or models where suitable.</w:t>
            </w:r>
          </w:p>
        </w:tc>
      </w:tr>
      <w:tr>
        <w:tc>
          <w:tcPr>
            <w:tcW w:w="3000" w:type="dxa"/>
          </w:tcPr>
          <w:p>
            <w:pPr>
              <w:pStyle w:val="TableText"/>
            </w:pPr>
            <w:r>
              <w:rPr>
                <w:color w:val="25323A"/>
              </w:rPr>
              <w:t xml:space="preserve">Quantity and volumetric analysis</w:t>
            </w:r>
          </w:p>
        </w:tc>
        <w:tc>
          <w:tcPr>
            <w:tcW w:w="6900" w:type="dxa"/>
          </w:tcPr>
          <w:p>
            <w:pPr>
              <w:pStyle w:val="TableText"/>
            </w:pPr>
            <w:r>
              <w:rPr>
                <w:color w:val="25323A"/>
              </w:rPr>
              <w:t xml:space="preserve">Calculate stockpile, borrow-area, quarry, earthwork or progress quantities from a documented surface and measurement date.</w:t>
            </w:r>
          </w:p>
        </w:tc>
      </w:tr>
      <w:tr>
        <w:tc>
          <w:tcPr>
            <w:tcW w:w="3000" w:type="dxa"/>
          </w:tcPr>
          <w:p>
            <w:pPr>
              <w:pStyle w:val="TableText"/>
            </w:pPr>
            <w:r>
              <w:rPr>
                <w:color w:val="25323A"/>
              </w:rPr>
              <w:t xml:space="preserve">CAD, GIS and as-built delivery</w:t>
            </w:r>
          </w:p>
        </w:tc>
        <w:tc>
          <w:tcPr>
            <w:tcW w:w="6900" w:type="dxa"/>
          </w:tcPr>
          <w:p>
            <w:pPr>
              <w:pStyle w:val="TableText"/>
            </w:pPr>
            <w:r>
              <w:rPr>
                <w:color w:val="25323A"/>
              </w:rPr>
              <w:t xml:space="preserve">Prepare coordinate-controlled drawings, GIS layers, profiles, DTM or as-built files with metadata, accuracy notes and revision control.</w:t>
            </w:r>
          </w:p>
        </w:tc>
      </w:tr>
    </w:tbl>
    <w:p>
      <w:pPr>
        <w:pStyle w:val="Heading1"/>
        <w:keepNext/>
      </w:pPr>
      <w:r>
        <w:t xml:space="preserve">4. Standards, codes and government guidance</w:t>
      </w:r>
    </w:p>
    <w:p>
      <w:pPr>
        <w:pStyle w:val="Normal"/>
      </w:pPr>
      <w:r>
        <w:t xml:space="preserve">The following references are commonly relevant to this service. The controlling edition, amendment, method, authority requirement and contract specification must be checked before issue or execution.</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600"/>
        <w:gridCol w:w="7300"/>
      </w:tblGrid>
      <w:tr>
        <w:tc>
          <w:tcPr>
            <w:tcW w:w="2600" w:type="dxa"/>
            <w:shd w:fill="193B4A"/>
          </w:tcPr>
          <w:p>
            <w:pPr>
              <w:pStyle w:val="TableHeader"/>
            </w:pPr>
            <w:r>
              <w:rPr>
                <w:color w:val="FFFFFF"/>
              </w:rPr>
              <w:t xml:space="preserve">Reference area</w:t>
            </w:r>
          </w:p>
        </w:tc>
        <w:tc>
          <w:tcPr>
            <w:tcW w:w="7300" w:type="dxa"/>
            <w:shd w:fill="193B4A"/>
          </w:tcPr>
          <w:p>
            <w:pPr>
              <w:pStyle w:val="TableHeader"/>
            </w:pPr>
            <w:r>
              <w:rPr>
                <w:color w:val="FFFFFF"/>
              </w:rPr>
              <w:t xml:space="preserve">Applicable references and use</w:t>
            </w:r>
          </w:p>
        </w:tc>
      </w:tr>
      <w:tr>
        <w:tc>
          <w:tcPr>
            <w:tcW w:w="2600" w:type="dxa"/>
          </w:tcPr>
          <w:p>
            <w:pPr>
              <w:pStyle w:val="TableText"/>
            </w:pPr>
            <w:r>
              <w:rPr>
                <w:color w:val="25323A"/>
              </w:rPr>
              <w:t xml:space="preserve">Coordinate and accuracy basis</w:t>
            </w:r>
          </w:p>
        </w:tc>
        <w:tc>
          <w:tcPr>
            <w:tcW w:w="7300" w:type="dxa"/>
          </w:tcPr>
          <w:p>
            <w:pPr>
              <w:pStyle w:val="TableText"/>
            </w:pPr>
            <w:r>
              <w:rPr>
                <w:color w:val="25323A"/>
              </w:rPr>
              <w:t xml:space="preserve">Client-specified coordinate reference, datum, benchmark, tolerance, ground-sample distance, control method, independent check-point and metadata requirements.</w:t>
            </w:r>
          </w:p>
        </w:tc>
      </w:tr>
      <w:tr>
        <w:tc>
          <w:tcPr>
            <w:tcW w:w="2600" w:type="dxa"/>
          </w:tcPr>
          <w:p>
            <w:pPr>
              <w:pStyle w:val="TableText"/>
            </w:pPr>
            <w:r>
              <w:rPr>
                <w:color w:val="25323A"/>
              </w:rPr>
              <w:t xml:space="preserve">Road and corridor work</w:t>
            </w:r>
          </w:p>
        </w:tc>
        <w:tc>
          <w:tcPr>
            <w:tcW w:w="7300" w:type="dxa"/>
          </w:tcPr>
          <w:p>
            <w:pPr>
              <w:pStyle w:val="TableText"/>
            </w:pPr>
            <w:r>
              <w:rPr>
                <w:color w:val="25323A"/>
              </w:rPr>
              <w:t xml:space="preserve">Current MoRTH, NHAI, IRC and state PWD survey or DPR requirements where adopted by the road, bridge, rail, canal or utility contract.</w:t>
            </w:r>
          </w:p>
        </w:tc>
      </w:tr>
      <w:tr>
        <w:tc>
          <w:tcPr>
            <w:tcW w:w="2600" w:type="dxa"/>
          </w:tcPr>
          <w:p>
            <w:pPr>
              <w:pStyle w:val="TableText"/>
            </w:pPr>
            <w:r>
              <w:rPr>
                <w:color w:val="25323A"/>
              </w:rPr>
              <w:t xml:space="preserve">Authority and land records</w:t>
            </w:r>
          </w:p>
        </w:tc>
        <w:tc>
          <w:tcPr>
            <w:tcW w:w="7300" w:type="dxa"/>
          </w:tcPr>
          <w:p>
            <w:pPr>
              <w:pStyle w:val="TableText"/>
            </w:pPr>
            <w:r>
              <w:rPr>
                <w:color w:val="25323A"/>
              </w:rPr>
              <w:t xml:space="preserve">Survey of India reference or control requirements, cadastral or land-record instructions and authority-specific formats where the project requires them.</w:t>
            </w:r>
          </w:p>
        </w:tc>
      </w:tr>
      <w:tr>
        <w:tc>
          <w:tcPr>
            <w:tcW w:w="2600" w:type="dxa"/>
          </w:tcPr>
          <w:p>
            <w:pPr>
              <w:pStyle w:val="TableText"/>
            </w:pPr>
            <w:r>
              <w:rPr>
                <w:color w:val="25323A"/>
              </w:rPr>
              <w:t xml:space="preserve">UAV operations</w:t>
            </w:r>
          </w:p>
        </w:tc>
        <w:tc>
          <w:tcPr>
            <w:tcW w:w="7300" w:type="dxa"/>
          </w:tcPr>
          <w:p>
            <w:pPr>
              <w:pStyle w:val="TableText"/>
            </w:pPr>
            <w:r>
              <w:rPr>
                <w:color w:val="25323A"/>
              </w:rPr>
              <w:t xml:space="preserve">Drone Rules 2021, DGCA/Digital Sky airspace and operating requirements, permissions, site restrictions, safety controls and any client flight protocol.</w:t>
            </w:r>
          </w:p>
        </w:tc>
      </w:tr>
      <w:tr>
        <w:tc>
          <w:tcPr>
            <w:tcW w:w="2600" w:type="dxa"/>
          </w:tcPr>
          <w:p>
            <w:pPr>
              <w:pStyle w:val="TableText"/>
            </w:pPr>
            <w:r>
              <w:rPr>
                <w:color w:val="25323A"/>
              </w:rPr>
              <w:t xml:space="preserve">Design and as-built inputs</w:t>
            </w:r>
          </w:p>
        </w:tc>
        <w:tc>
          <w:tcPr>
            <w:tcW w:w="7300" w:type="dxa"/>
          </w:tcPr>
          <w:p>
            <w:pPr>
              <w:pStyle w:val="TableText"/>
            </w:pPr>
            <w:r>
              <w:rPr>
                <w:color w:val="25323A"/>
              </w:rPr>
              <w:t xml:space="preserve">The project’s approved DPR, design brief, utility register, construction set-out requirements, joint-measurement method and handover format.</w:t>
            </w:r>
          </w:p>
        </w:tc>
      </w:tr>
      <w:tr>
        <w:tc>
          <w:tcPr>
            <w:tcW w:w="2600" w:type="dxa"/>
          </w:tcPr>
          <w:p>
            <w:pPr>
              <w:pStyle w:val="TableText"/>
            </w:pPr>
            <w:r>
              <w:rPr>
                <w:color w:val="25323A"/>
              </w:rPr>
              <w:t xml:space="preserve">Quality assurance</w:t>
            </w:r>
          </w:p>
        </w:tc>
        <w:tc>
          <w:tcPr>
            <w:tcW w:w="7300" w:type="dxa"/>
          </w:tcPr>
          <w:p>
            <w:pPr>
              <w:pStyle w:val="TableText"/>
            </w:pPr>
            <w:r>
              <w:rPr>
                <w:color w:val="25323A"/>
              </w:rPr>
              <w:t xml:space="preserve">Documented control checks, independent check points, survey date, equipment or method records, processing settings and limitations of the final product.</w:t>
            </w:r>
          </w:p>
        </w:tc>
      </w:tr>
    </w:tbl>
    <w:p>
      <w:pPr>
        <w:pStyle w:val="Heading1"/>
        <w:keepNext/>
      </w:pPr>
      <w:r>
        <w:t xml:space="preserve">5. Target clients and project types</w:t>
      </w:r>
    </w:p>
    <w:p>
      <w:pPr>
        <w:pStyle w:val="Normal"/>
      </w:pPr>
      <w:r>
        <w:t xml:space="preserve">This service is suited to the following client groups and project situations, subject to the agreed scope and procurement route:</w:t>
      </w:r>
    </w:p>
    <w:p>
      <w:pPr>
        <w:pStyle w:val="ListParagraph"/>
        <w:numPr>
          <w:ilvl w:val="0"/>
          <w:numId w:val="1"/>
        </w:numPr>
      </w:pPr>
      <w:r>
        <w:t xml:space="preserve">Highway, railway, canal, pipeline and utility-corridor owners and consultants.</w:t>
      </w:r>
    </w:p>
    <w:p>
      <w:pPr>
        <w:pStyle w:val="ListParagraph"/>
        <w:numPr>
          <w:ilvl w:val="0"/>
          <w:numId w:val="1"/>
        </w:numPr>
      </w:pPr>
      <w:r>
        <w:t xml:space="preserve">NHAI, state PWD, irrigation departments, ULBs and infrastructure agencies.</w:t>
      </w:r>
    </w:p>
    <w:p>
      <w:pPr>
        <w:pStyle w:val="ListParagraph"/>
        <w:numPr>
          <w:ilvl w:val="0"/>
          <w:numId w:val="1"/>
        </w:numPr>
      </w:pPr>
      <w:r>
        <w:t xml:space="preserve">Industrial developers, logistics parks, mines, quarries and large site owners.</w:t>
      </w:r>
    </w:p>
    <w:p>
      <w:pPr>
        <w:pStyle w:val="ListParagraph"/>
        <w:numPr>
          <w:ilvl w:val="0"/>
          <w:numId w:val="1"/>
        </w:numPr>
      </w:pPr>
      <w:r>
        <w:t xml:space="preserve">Architects, civil designers, DPR consultants, PMCs and construction contractors.</w:t>
      </w:r>
    </w:p>
    <w:p>
      <w:pPr>
        <w:pStyle w:val="ListParagraph"/>
        <w:numPr>
          <w:ilvl w:val="0"/>
          <w:numId w:val="1"/>
        </w:numPr>
      </w:pPr>
      <w:r>
        <w:t xml:space="preserve">EPC teams requiring progress, quantity, set-out or as-built evidence.</w:t>
      </w:r>
    </w:p>
    <w:p>
      <w:pPr>
        <w:pStyle w:val="ListParagraph"/>
        <w:numPr>
          <w:ilvl w:val="0"/>
          <w:numId w:val="1"/>
        </w:numPr>
      </w:pPr>
      <w:r>
        <w:t xml:space="preserve">Owners needing GIS-backed asset, boundary, drainage or site inventories.</w:t>
      </w:r>
    </w:p>
    <w:p>
      <w:pPr>
        <w:pStyle w:val="Heading1"/>
        <w:keepNext/>
      </w:pPr>
      <w:r>
        <w:t xml:space="preserve">6. Delivery workflow</w:t>
      </w:r>
    </w:p>
    <w:p>
      <w:pPr>
        <w:pStyle w:val="Normal"/>
      </w:pPr>
      <w:r>
        <w:t xml:space="preserve">A clear brief and traceable records reduce rework. A typical engagement follows these steps:</w:t>
      </w:r>
    </w:p>
    <w:p>
      <w:pPr>
        <w:pStyle w:val="ListParagraph"/>
        <w:numPr>
          <w:ilvl w:val="0"/>
          <w:numId w:val="2"/>
        </w:numPr>
      </w:pPr>
      <w:r>
        <w:t xml:space="preserve">Confirm the survey area, purpose, coordinate system, accuracy, features, deliverable format and access or flight restrictions.</w:t>
      </w:r>
    </w:p>
    <w:p>
      <w:pPr>
        <w:pStyle w:val="ListParagraph"/>
        <w:numPr>
          <w:ilvl w:val="0"/>
          <w:numId w:val="2"/>
        </w:numPr>
      </w:pPr>
      <w:r>
        <w:t xml:space="preserve">Carry out reconnaissance and establish or verify benchmarks, GNSS/traverse control and safety arrangements.</w:t>
      </w:r>
    </w:p>
    <w:p>
      <w:pPr>
        <w:pStyle w:val="ListParagraph"/>
        <w:numPr>
          <w:ilvl w:val="0"/>
          <w:numId w:val="2"/>
        </w:numPr>
      </w:pPr>
      <w:r>
        <w:t xml:space="preserve">Collect field detail with the selected method and record survey date, conditions, equipment and control observations.</w:t>
      </w:r>
    </w:p>
    <w:p>
      <w:pPr>
        <w:pStyle w:val="ListParagraph"/>
        <w:numPr>
          <w:ilvl w:val="0"/>
          <w:numId w:val="2"/>
        </w:numPr>
      </w:pPr>
      <w:r>
        <w:t xml:space="preserve">Plan and conduct UAV work only after the applicable permissions, airspace, site and safety checks are satisfied.</w:t>
      </w:r>
    </w:p>
    <w:p>
      <w:pPr>
        <w:pStyle w:val="ListParagraph"/>
        <w:numPr>
          <w:ilvl w:val="0"/>
          <w:numId w:val="2"/>
        </w:numPr>
      </w:pPr>
      <w:r>
        <w:t xml:space="preserve">Process observations and imagery into the required surfaces, drawings, profiles, GIS layers or quantities.</w:t>
      </w:r>
    </w:p>
    <w:p>
      <w:pPr>
        <w:pStyle w:val="ListParagraph"/>
        <w:numPr>
          <w:ilvl w:val="0"/>
          <w:numId w:val="2"/>
        </w:numPr>
      </w:pPr>
      <w:r>
        <w:t xml:space="preserve">Run control, independent check-point and completeness checks, then record limitations or exclusions.</w:t>
      </w:r>
    </w:p>
    <w:p>
      <w:pPr>
        <w:pStyle w:val="ListParagraph"/>
        <w:numPr>
          <w:ilvl w:val="0"/>
          <w:numId w:val="2"/>
        </w:numPr>
      </w:pPr>
      <w:r>
        <w:t xml:space="preserve">Issue the controlled deliverable with coordinate basis, accuracy statement, metadata, revision and handover notes.</w:t>
      </w:r>
    </w:p>
    <w:p>
      <w:pPr>
        <w:pStyle w:val="Heading1"/>
        <w:keepNext/>
      </w:pPr>
      <w:r>
        <w:t xml:space="preserve">7. Typical deliverables</w:t>
      </w:r>
    </w:p>
    <w:p>
      <w:pPr>
        <w:pStyle w:val="ListParagraph"/>
        <w:numPr>
          <w:ilvl w:val="0"/>
          <w:numId w:val="1"/>
        </w:numPr>
      </w:pPr>
      <w:r>
        <w:t xml:space="preserve">Reconnaissance note, control diagram, benchmark and coordinate register.</w:t>
      </w:r>
    </w:p>
    <w:p>
      <w:pPr>
        <w:pStyle w:val="ListParagraph"/>
        <w:numPr>
          <w:ilvl w:val="0"/>
          <w:numId w:val="1"/>
        </w:numPr>
      </w:pPr>
      <w:r>
        <w:t xml:space="preserve">Topographic, contour, feature, alignment, profile and cross-section drawings.</w:t>
      </w:r>
    </w:p>
    <w:p>
      <w:pPr>
        <w:pStyle w:val="ListParagraph"/>
        <w:numPr>
          <w:ilvl w:val="0"/>
          <w:numId w:val="1"/>
        </w:numPr>
      </w:pPr>
      <w:r>
        <w:t xml:space="preserve">DTM, DSM, TIN, point-cloud, orthomosaic and GIS layers where included.</w:t>
      </w:r>
    </w:p>
    <w:p>
      <w:pPr>
        <w:pStyle w:val="ListParagraph"/>
        <w:numPr>
          <w:ilvl w:val="0"/>
          <w:numId w:val="1"/>
        </w:numPr>
      </w:pPr>
      <w:r>
        <w:t xml:space="preserve">UAV flight, ground-control, check-point and processing records where applicable.</w:t>
      </w:r>
    </w:p>
    <w:p>
      <w:pPr>
        <w:pStyle w:val="ListParagraph"/>
        <w:numPr>
          <w:ilvl w:val="0"/>
          <w:numId w:val="1"/>
        </w:numPr>
      </w:pPr>
      <w:r>
        <w:t xml:space="preserve">Stockpile, earthwork, borrow-area or quarry volume calculations.</w:t>
      </w:r>
    </w:p>
    <w:p>
      <w:pPr>
        <w:pStyle w:val="ListParagraph"/>
        <w:numPr>
          <w:ilvl w:val="0"/>
          <w:numId w:val="1"/>
        </w:numPr>
      </w:pPr>
      <w:r>
        <w:t xml:space="preserve">Construction set-out, deviation, progress and as-built survey reports.</w:t>
      </w:r>
    </w:p>
    <w:p>
      <w:pPr>
        <w:pStyle w:val="ListParagraph"/>
        <w:numPr>
          <w:ilvl w:val="0"/>
          <w:numId w:val="1"/>
        </w:numPr>
      </w:pPr>
      <w:r>
        <w:t xml:space="preserve">CAD, GIS, PDF, spreadsheet and metadata packages in the agreed formats.</w:t>
      </w:r>
    </w:p>
    <w:p>
      <w:pPr>
        <w:pStyle w:val="Heading1"/>
        <w:keepNext/>
      </w:pPr>
      <w:r>
        <w:t xml:space="preserve">8. Benefits and decision value</w:t>
      </w:r>
    </w:p>
    <w:p>
      <w:pPr>
        <w:pStyle w:val="ListParagraph"/>
        <w:numPr>
          <w:ilvl w:val="0"/>
          <w:numId w:val="1"/>
        </w:numPr>
      </w:pPr>
      <w:r>
        <w:t xml:space="preserve">An explicit coordinate and accuracy basis for design, quantity and construction decisions.</w:t>
      </w:r>
    </w:p>
    <w:p>
      <w:pPr>
        <w:pStyle w:val="ListParagraph"/>
        <w:numPr>
          <w:ilvl w:val="0"/>
          <w:numId w:val="1"/>
        </w:numPr>
      </w:pPr>
      <w:r>
        <w:t xml:space="preserve">One agreed ground file for designers, field engineers, quantity teams and auditors.</w:t>
      </w:r>
    </w:p>
    <w:p>
      <w:pPr>
        <w:pStyle w:val="ListParagraph"/>
        <w:numPr>
          <w:ilvl w:val="0"/>
          <w:numId w:val="1"/>
        </w:numPr>
      </w:pPr>
      <w:r>
        <w:t xml:space="preserve">Fewer alignment, level, boundary and joint-measurement disputes.</w:t>
      </w:r>
    </w:p>
    <w:p>
      <w:pPr>
        <w:pStyle w:val="ListParagraph"/>
        <w:numPr>
          <w:ilvl w:val="0"/>
          <w:numId w:val="1"/>
        </w:numPr>
      </w:pPr>
      <w:r>
        <w:t xml:space="preserve">Reusable survey data across DPR, design, construction, billing and handover stages.</w:t>
      </w:r>
    </w:p>
    <w:p>
      <w:pPr>
        <w:pStyle w:val="ListParagraph"/>
        <w:numPr>
          <w:ilvl w:val="0"/>
          <w:numId w:val="1"/>
        </w:numPr>
      </w:pPr>
      <w:r>
        <w:t xml:space="preserve">Faster corridor or site capture when UAV mapping is appropriate and properly controlled.</w:t>
      </w:r>
    </w:p>
    <w:p>
      <w:pPr>
        <w:pStyle w:val="ListParagraph"/>
        <w:numPr>
          <w:ilvl w:val="0"/>
          <w:numId w:val="1"/>
        </w:numPr>
      </w:pPr>
      <w:r>
        <w:t xml:space="preserve">Clearer understanding of what was measured, when it was measured and where limitations remain.</w:t>
      </w:r>
    </w:p>
    <w:p>
      <w:pPr>
        <w:pStyle w:val="Heading1"/>
        <w:keepNext/>
      </w:pPr>
      <w:r>
        <w:t xml:space="preserve">9. Responsibilities and claim boundaries</w:t>
      </w:r>
    </w:p>
    <w:p>
      <w:pPr>
        <w:pStyle w:val="ListParagraph"/>
        <w:numPr>
          <w:ilvl w:val="0"/>
          <w:numId w:val="1"/>
        </w:numPr>
      </w:pPr>
      <w:r>
        <w:t xml:space="preserve">UAV work is subject to applicable Drone Rules, DGCA/Digital Sky permissions, airspace restrictions, site access, weather, safety and accuracy requirements.</w:t>
      </w:r>
    </w:p>
    <w:p>
      <w:pPr>
        <w:pStyle w:val="ListParagraph"/>
        <w:numPr>
          <w:ilvl w:val="0"/>
          <w:numId w:val="1"/>
        </w:numPr>
      </w:pPr>
      <w:r>
        <w:t xml:space="preserve">A drone survey does not automatically replace ground control, total-station detail, boundary evidence or a legally recognized cadastral survey.</w:t>
      </w:r>
    </w:p>
    <w:p>
      <w:pPr>
        <w:pStyle w:val="ListParagraph"/>
        <w:numPr>
          <w:ilvl w:val="0"/>
          <w:numId w:val="1"/>
        </w:numPr>
      </w:pPr>
      <w:r>
        <w:t xml:space="preserve">The final accuracy depends on the approved method, control, equipment, site conditions, processing and independent checks.</w:t>
      </w:r>
    </w:p>
    <w:p>
      <w:pPr>
        <w:pStyle w:val="ListParagraph"/>
        <w:numPr>
          <w:ilvl w:val="0"/>
          <w:numId w:val="1"/>
        </w:numPr>
      </w:pPr>
      <w:r>
        <w:t xml:space="preserve">Underground utility location, legal boundary certification, land title opinions and statutory permissions require separate scope and responsible authorities where applicable.</w:t>
      </w:r>
    </w:p>
    <w:p>
      <w:pPr>
        <w:pStyle w:val="ListParagraph"/>
        <w:numPr>
          <w:ilvl w:val="0"/>
          <w:numId w:val="1"/>
        </w:numPr>
      </w:pPr>
      <w:r>
        <w:t xml:space="preserve">Quantity outputs depend on the survey date, surface definition, exclusions, agreed measurement rules and change between surveys.</w:t>
      </w:r>
    </w:p>
    <w:p>
      <w:pPr>
        <w:pStyle w:val="Heading1"/>
        <w:keepNext/>
      </w:pPr>
      <w:r>
        <w:t xml:space="preserve">10. Frequently asked questions</w:t>
      </w:r>
    </w:p>
    <w:p>
      <w:pPr>
        <w:pStyle w:val="Heading3"/>
        <w:keepNext/>
      </w:pPr>
      <w:r>
        <w:t xml:space="preserve">Does a drone survey replace ground control?</w:t>
      </w:r>
    </w:p>
    <w:p>
      <w:pPr>
        <w:pStyle w:val="Normal"/>
      </w:pPr>
      <w:r>
        <w:t xml:space="preserve">No. Ground control, check points and an agreed coordinate system are what make UAV photogrammetry suitable for measured design and quantity work.</w:t>
      </w:r>
    </w:p>
    <w:p>
      <w:pPr>
        <w:pStyle w:val="Heading3"/>
        <w:keepNext/>
      </w:pPr>
      <w:r>
        <w:t xml:space="preserve">What should a survey brief specify?</w:t>
      </w:r>
    </w:p>
    <w:p>
      <w:pPr>
        <w:pStyle w:val="Normal"/>
      </w:pPr>
      <w:r>
        <w:t xml:space="preserve">Specify the area, control system, accuracy, required features, coordinate reference, deliverable formats, survey date and any access, safety or flight restrictions.</w:t>
      </w:r>
    </w:p>
    <w:p>
      <w:pPr>
        <w:pStyle w:val="Heading3"/>
        <w:keepNext/>
      </w:pPr>
      <w:r>
        <w:t xml:space="preserve">Can ACE fly a UAV anywhere a client requests?</w:t>
      </w:r>
    </w:p>
    <w:p>
      <w:pPr>
        <w:pStyle w:val="Normal"/>
      </w:pPr>
      <w:r>
        <w:t xml:space="preserve">No. UAV work is subject to the applicable Drone Rules, DGCA/Digital Sky permissions, airspace restrictions, site access, safety controls and the project’s accuracy requirements. A ground survey remains the appropriate method where those conditions are not met.</w:t>
      </w:r>
    </w:p>
    <w:p>
      <w:pPr>
        <w:pStyle w:val="Heading3"/>
        <w:keepNext/>
      </w:pPr>
      <w:r>
        <w:t xml:space="preserve">Can survey data be used for billing?</w:t>
      </w:r>
    </w:p>
    <w:p>
      <w:pPr>
        <w:pStyle w:val="Normal"/>
      </w:pPr>
      <w:r>
        <w:t xml:space="preserve">It can support quantity or progress measurement when the surface, control, date, exclusions and measurement method are agreed by the contract and accepted by the responsible parties.</w:t>
      </w:r>
    </w:p>
    <w:p>
      <w:pPr>
        <w:pStyle w:val="Heading1"/>
        <w:keepNext/>
      </w:pPr>
      <w:r>
        <w:t xml:space="preserve">11. Suggested copyright-free image direction</w:t>
      </w:r>
    </w:p>
    <w:p>
      <w:pPr>
        <w:pStyle w:val="Normal"/>
      </w:pPr>
      <w:r>
        <w:t xml:space="preserve">Use original photography or verify the individual licence before publishing. Unsplash and Pexels are useful search sources, but the licence of the exact asset should still be checked.</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900"/>
        <w:gridCol w:w="7000"/>
      </w:tblGrid>
      <w:tr>
        <w:tc>
          <w:tcPr>
            <w:tcW w:w="2900" w:type="dxa"/>
            <w:shd w:fill="193B4A"/>
          </w:tcPr>
          <w:p>
            <w:pPr>
              <w:pStyle w:val="TableHeader"/>
            </w:pPr>
            <w:r>
              <w:rPr>
                <w:color w:val="FFFFFF"/>
              </w:rPr>
              <w:t xml:space="preserve">Image subject</w:t>
            </w:r>
          </w:p>
        </w:tc>
        <w:tc>
          <w:tcPr>
            <w:tcW w:w="7000" w:type="dxa"/>
            <w:shd w:fill="193B4A"/>
          </w:tcPr>
          <w:p>
            <w:pPr>
              <w:pStyle w:val="TableHeader"/>
            </w:pPr>
            <w:r>
              <w:rPr>
                <w:color w:val="FFFFFF"/>
              </w:rPr>
              <w:t xml:space="preserve">Description and search keywords</w:t>
            </w:r>
          </w:p>
        </w:tc>
      </w:tr>
      <w:tr>
        <w:tc>
          <w:tcPr>
            <w:tcW w:w="2900" w:type="dxa"/>
          </w:tcPr>
          <w:p>
            <w:pPr>
              <w:pStyle w:val="TableText"/>
            </w:pPr>
            <w:r>
              <w:rPr>
                <w:color w:val="25323A"/>
              </w:rPr>
              <w:t xml:space="preserve">GNSS survey on an Indian corridor</w:t>
            </w:r>
          </w:p>
        </w:tc>
        <w:tc>
          <w:tcPr>
            <w:tcW w:w="7000" w:type="dxa"/>
          </w:tcPr>
          <w:p>
            <w:pPr>
              <w:pStyle w:val="TableText"/>
            </w:pPr>
            <w:r>
              <w:rPr>
                <w:color w:val="25323A"/>
              </w:rPr>
              <w:t xml:space="preserve">Surveyors in PPE using a GNSS rover beside a highway or irrigation corridor, with realistic Indian terrain and traffic controls. Search keywords: GNSS RTK surveyor highway India topographic survey</w:t>
            </w:r>
          </w:p>
        </w:tc>
      </w:tr>
      <w:tr>
        <w:tc>
          <w:tcPr>
            <w:tcW w:w="2900" w:type="dxa"/>
          </w:tcPr>
          <w:p>
            <w:pPr>
              <w:pStyle w:val="TableText"/>
            </w:pPr>
            <w:r>
              <w:rPr>
                <w:color w:val="25323A"/>
              </w:rPr>
              <w:t xml:space="preserve">UAV mapping with ground control</w:t>
            </w:r>
          </w:p>
        </w:tc>
        <w:tc>
          <w:tcPr>
            <w:tcW w:w="7000" w:type="dxa"/>
          </w:tcPr>
          <w:p>
            <w:pPr>
              <w:pStyle w:val="TableText"/>
            </w:pPr>
            <w:r>
              <w:rPr>
                <w:color w:val="25323A"/>
              </w:rPr>
              <w:t xml:space="preserve">A field team preparing a compact survey drone and visible ground-control targets on an industrial or highway site; avoid implying flight without permission. Search keywords: drone photogrammetry ground control India construction survey</w:t>
            </w:r>
          </w:p>
        </w:tc>
      </w:tr>
    </w:tbl>
    <w:p>
      <w:pPr>
        <w:pStyle w:val="Heading1"/>
        <w:keepNext/>
      </w:pPr>
      <w:r>
        <w:t xml:space="preserve">12. Official source register</w:t>
      </w:r>
    </w:p>
    <w:p>
      <w:pPr>
        <w:pStyle w:val="Normal"/>
      </w:pPr>
      <w:r>
        <w:t xml:space="preserve">The source families below should be checked against the latest official publication, notification or portal before using this guide for a tender, regulatory submission or contractual commitment.</w:t>
      </w:r>
    </w:p>
    <w:p>
      <w:pPr>
        <w:pStyle w:val="Small"/>
      </w:pPr>
      <w:r>
        <w:t xml:space="preserve">Survey of India: https://surveyofindia.gov.in/</w:t>
      </w:r>
    </w:p>
    <w:p>
      <w:pPr>
        <w:pStyle w:val="Small"/>
      </w:pPr>
      <w:r>
        <w:t xml:space="preserve">Directorate General of Civil Aviation: https://www.dgca.gov.in/</w:t>
      </w:r>
    </w:p>
    <w:p>
      <w:pPr>
        <w:pStyle w:val="Small"/>
      </w:pPr>
      <w:r>
        <w:t xml:space="preserve">Digital Sky: https://digitalsky.dgca.gov.in/</w:t>
      </w:r>
    </w:p>
    <w:p>
      <w:pPr>
        <w:pStyle w:val="Small"/>
      </w:pPr>
      <w:r>
        <w:t xml:space="preserve">Indian Roads Congress: https://irc.nic.in/</w:t>
      </w:r>
    </w:p>
    <w:p>
      <w:pPr>
        <w:pStyle w:val="Small"/>
      </w:pPr>
      <w:r>
        <w:t xml:space="preserve">Ministry of Road Transport and Highways: https://morth.nic.in/</w:t>
      </w:r>
    </w:p>
    <w:p>
      <w:pPr>
        <w:pStyle w:val="Small"/>
      </w:pPr>
      <w:r>
        <w:t xml:space="preserve">National Highways Authority of India: https://nhai.gov.in/</w:t>
      </w:r>
    </w:p>
    <w:p>
      <w:pPr>
        <w:pStyle w:val="Heading1"/>
        <w:keepNext/>
      </w:pPr>
      <w:r>
        <w:t xml:space="preserve">13. Conclusion</w:t>
      </w:r>
    </w:p>
    <w:p>
      <w:pPr>
        <w:pStyle w:val="Normal"/>
      </w:pPr>
      <w:r>
        <w:t xml:space="preserve">Good geospatial work is controlled measurement, not only a map or image. When the coordinate basis, accuracy and checks are explicit, the output becomes useful to design, construction, billing and handover teams.</w:t>
      </w:r>
    </w:p>
    <w:p>
      <w:pPr>
        <w:pStyle w:val="Normal"/>
      </w:pPr>
      <w:r>
        <w:t xml:space="preserve">Before fieldwork, the client should confirm the intended use, required accuracy, coordinate reference, survey features, legal permissions, deliverable formats and who will accept the final package.</w:t>
      </w:r>
    </w:p>
    <w:sectPr>
      <w:headerReference xmlns:r="http://schemas.openxmlformats.org/officeDocument/2006/relationships" w:type="default" r:id="rId4"/>
      <w:footerReference xmlns:r="http://schemas.openxmlformats.org/officeDocument/2006/relationships" w:type="default" r:id="rId5"/>
      <w:pgSz w:w="11906" w:h="16838"/>
      <w:pgMar w:top="1080" w:right="1080" w:bottom="1080" w:left="1080" w:header="540" w:footer="540" w:gutter="0"/>
      <w:cols w:space="720"/>
      <w:docGrid w:linePitch="360"/>
    </w:sectPr>
  </w:body>
</w:document>
</file>

<file path=word/footer1.xml><?xml version="1.0" encoding="utf-8"?>
<w:ftr xmlns:w="http://schemas.openxmlformats.org/wordprocessingml/2006/main" xmlns:r="http://schemas.openxmlformats.org/officeDocument/2006/relationships">
  <w:p>
    <w:pPr>
      <w:pStyle w:val="Footer"/>
    </w:pPr>
    <w:r>
      <w:rPr>
        <w:color w:val="6B7478"/>
        <w:sz w:val="16"/>
        <w:szCs w:val="16"/>
      </w:rPr>
      <w:t xml:space="preserve">ACE  |  Detailed service guide  |  </w:t>
    </w:r>
    <w:fldSimple w:instr="PAGE">
      <w:r>
        <w:rPr>
          <w:color w:val="6B7478"/>
          <w:sz w:val="16"/>
        </w:rPr>
      </w:r>
    </w:fldSimple>
  </w:p>
</w:ftr>
</file>

<file path=word/header1.xml><?xml version="1.0" encoding="utf-8"?>
<w:hdr xmlns:w="http://schemas.openxmlformats.org/wordprocessingml/2006/main">
  <w:p>
    <w:pPr>
      <w:pStyle w:val="Header"/>
    </w:pPr>
    <w:r>
      <w:rPr>
        <w:b/>
        <w:color w:val="193B4A"/>
        <w:sz w:val="18"/>
        <w:szCs w:val="18"/>
      </w:rPr>
      <w:t xml:space="preserve">ACE  |  Anay Consultants &amp; Engineers</w:t>
    </w:r>
    <w:r>
      <w:rPr>
        <w:color w:val="8A5A2B"/>
        <w:sz w:val="16"/>
        <w:szCs w:val="16"/>
      </w:rPr>
      <w:t xml:space="preserve">  •  Engineering Data You Can Build On.</w:t>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420" w:hanging="220"/>
      </w:pPr>
      <w:rPr>
        <w:rFonts w:ascii="Arial" w:hAnsi="Arial"/>
      </w:rPr>
    </w:lvl>
  </w:abstractNum>
  <w:abstractNum w:abstractNumId="1">
    <w:multiLevelType w:val="singleLevel"/>
    <w:lvl w:ilvl="0">
      <w:start w:val="1"/>
      <w:numFmt w:val="decimal"/>
      <w:lvlText w:val="%1."/>
      <w:lvlJc w:val="left"/>
      <w:pPr>
        <w:ind w:left="420" w:hanging="220"/>
      </w:pPr>
    </w:lvl>
  </w:abstractNum>
  <w:num w:numId="1">
    <w:abstractNumId w:val="0"/>
  </w:num>
  <w:num w:numId="2">
    <w:abstractNumId w:val="1"/>
  </w:num>
</w:numbering>
</file>

<file path=word/settings.xml><?xml version="1.0" encoding="utf-8"?>
<w:settings xmlns:w="http://schemas.openxmlformats.org/wordprocessingml/2006/main">
  <w:zoom w:percent="100"/>
  <w:defaultTabStop w:val="720"/>
  <w:themeFontLang w:val="en-IN"/>
  <w:compat/>
  <w:doNotTrackFormatting/>
</w:settings>
</file>

<file path=word/styles.xml><?xml version="1.0" encoding="utf-8"?>
<w:styles xmlns:w="http://schemas.openxmlformats.org/wordprocessingml/2006/main">
  <w:docDefaults>
    <w:rPrDefault>
      <w:rPr>
        <w:rFonts w:ascii="Aptos" w:hAnsi="Aptos"/>
        <w:sz w:val="22"/>
        <w:szCs w:val="22"/>
        <w:color w:val="25323A"/>
      </w:rPr>
    </w:rPrDefault>
    <w:pPrDefault>
      <w:pPr>
        <w:spacing w:after="140" w:line="276" w:lineRule="auto"/>
      </w:pPr>
    </w:pPrDefault>
  </w:docDefaults>
  <w:style w:type="paragraph" w:default="1" w:styleId="Normal">
    <w:name w:val="Normal"/>
    <w:qFormat/>
  </w:style>
  <w:style w:type="paragraph" w:styleId="Title">
    <w:name w:val="Title"/>
    <w:basedOn w:val="Normal"/>
    <w:next w:val="Subtitle"/>
    <w:qFormat/>
    <w:pPr>
      <w:jc w:val="left"/>
      <w:spacing w:before="480" w:after="180"/>
    </w:pPr>
    <w:rPr>
      <w:rFonts w:ascii="Aptos Display" w:hAnsi="Aptos Display"/>
      <w:b/>
      <w:sz w:val="48"/>
      <w:szCs w:val="48"/>
      <w:color w:val="193B4A"/>
    </w:rPr>
  </w:style>
  <w:style w:type="paragraph" w:styleId="Subtitle">
    <w:name w:val="Subtitle"/>
    <w:basedOn w:val="Normal"/>
    <w:qFormat/>
    <w:pPr>
      <w:spacing w:after="300"/>
    </w:pPr>
    <w:rPr>
      <w:sz w:val="26"/>
      <w:szCs w:val="26"/>
      <w:color w:val="8A5A2B"/>
    </w:rPr>
  </w:style>
  <w:style w:type="paragraph" w:styleId="Heading1">
    <w:name w:val="heading 1"/>
    <w:basedOn w:val="Normal"/>
    <w:next w:val="Normal"/>
    <w:qFormat/>
    <w:pPr>
      <w:keepNext/>
      <w:outlineLvl w:val="0"/>
      <w:spacing w:before="420" w:after="140"/>
    </w:pPr>
    <w:rPr>
      <w:rFonts w:ascii="Aptos Display" w:hAnsi="Aptos Display"/>
      <w:b/>
      <w:sz w:val="31"/>
      <w:szCs w:val="31"/>
      <w:color w:val="193B4A"/>
    </w:rPr>
  </w:style>
  <w:style w:type="paragraph" w:styleId="Heading2">
    <w:name w:val="heading 2"/>
    <w:basedOn w:val="Normal"/>
    <w:next w:val="Normal"/>
    <w:qFormat/>
    <w:pPr>
      <w:keepNext/>
      <w:spacing w:before="260" w:after="100"/>
    </w:pPr>
    <w:rPr>
      <w:b/>
      <w:sz w:val="25"/>
      <w:szCs w:val="25"/>
      <w:color w:val="8A5A2B"/>
    </w:rPr>
  </w:style>
  <w:style w:type="paragraph" w:styleId="Heading3">
    <w:name w:val="heading 3"/>
    <w:basedOn w:val="Normal"/>
    <w:next w:val="Normal"/>
    <w:qFormat/>
    <w:pPr>
      <w:keepNext/>
      <w:spacing w:before="180" w:after="80"/>
    </w:pPr>
    <w:rPr>
      <w:b/>
      <w:sz w:val="22"/>
      <w:szCs w:val="22"/>
      <w:color w:val="193B4A"/>
    </w:rPr>
  </w:style>
  <w:style w:type="paragraph" w:styleId="ListParagraph">
    <w:name w:val="List Paragraph"/>
    <w:basedOn w:val="Normal"/>
    <w:pPr>
      <w:ind w:left="420" w:hanging="220"/>
      <w:spacing w:after="80"/>
    </w:pPr>
  </w:style>
  <w:style w:type="paragraph" w:styleId="Note">
    <w:name w:val="ACE Note"/>
    <w:basedOn w:val="Normal"/>
    <w:pPr>
      <w:shd w:fill="F4EBDD"/>
      <w:ind w:left="180" w:right="180"/>
      <w:spacing w:before="160" w:after="180"/>
    </w:pPr>
    <w:rPr>
      <w:sz w:val="20"/>
      <w:szCs w:val="20"/>
    </w:rPr>
  </w:style>
  <w:style w:type="paragraph" w:styleId="Small">
    <w:name w:val="Small"/>
    <w:basedOn w:val="Normal"/>
    <w:pPr>
      <w:spacing w:after="70"/>
    </w:pPr>
    <w:rPr>
      <w:sz w:val="18"/>
      <w:szCs w:val="18"/>
      <w:color w:val="5A6469"/>
    </w:rPr>
  </w:style>
  <w:style w:type="paragraph" w:styleId="TableText">
    <w:name w:val="Table Text"/>
    <w:basedOn w:val="Normal"/>
    <w:pPr>
      <w:spacing w:after="50" w:line="240" w:lineRule="auto"/>
    </w:pPr>
    <w:rPr>
      <w:sz w:val="18"/>
      <w:szCs w:val="18"/>
    </w:rPr>
  </w:style>
  <w:style w:type="paragraph" w:styleId="TableHeader">
    <w:name w:val="Table Header"/>
    <w:basedOn w:val="Normal"/>
    <w:pPr>
      <w:spacing w:after="50"/>
    </w:pPr>
    <w:rPr>
      <w:b/>
      <w:sz w:val="18"/>
      <w:szCs w:val="18"/>
      <w:color w:val="FFFFFF"/>
    </w:rPr>
  </w:style>
  <w:style w:type="paragraph" w:styleId="Header">
    <w:name w:val="Header"/>
    <w:basedOn w:val="Normal"/>
    <w:pPr>
      <w:pBdr>
        <w:bottom w:val="single" w:sz="6" w:space="6" w:color="D8D1C5"/>
      </w:pBdr>
      <w:spacing w:after="80"/>
    </w:pPr>
  </w:style>
  <w:style w:type="paragraph" w:styleId="Footer">
    <w:name w:val="Footer"/>
    <w:basedOn w:val="Normal"/>
    <w:pPr>
      <w:pBdr>
        <w:top w:val="single" w:sz="6" w:space="6" w:color="D8D1C5"/>
      </w:pBdr>
      <w:jc w:val="right"/>
    </w:pPr>
  </w:style>
  <w:style w:type="table" w:styleId="GuideTable">
    <w:name w:val="ACE Guide Table"/>
    <w:basedOn w:val="TableNormal"/>
    <w:tblPr>
      <w:tblCellMar>
        <w:top w:w="110" w:type="dxa"/>
        <w:start w:w="110" w:type="dxa"/>
        <w:bottom w:w="110" w:type="dxa"/>
        <w:end w:w="110" w:type="dxa"/>
      </w:tblCellMar>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header" Target="header1.xml"/>
  <Relationship Id="rId5"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ACE Service Guide Generator</Application>
  <DocSecurity>0</DocSecurity>
  <ScaleCrop>false</ScaleCrop>
  <HeadingPairs/>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Surveying &amp; Geospatial</dc:title>
  <dc:creator>Anay Consultants &amp; Engineers</dc:creator>
  <cp:lastModifiedBy>ACE Technical Desk</cp:lastModifiedBy>
  <dcterms:created xsi:type="dcterms:W3CDTF">2026-10-17T00:00:00Z</dcterms:created>
  <dcterms:modified xsi:type="dcterms:W3CDTF">2026-10-17T00:00:00Z</dcterms:modified>
</cp:coreProperties>
</file>