
<file path=[Content_Types].xml><?xml version="1.0" encoding="utf-8"?>
<Types xmlns="http://schemas.openxmlformats.org/package/2006/content-types">
  <Default Extension="rels" ContentType="application/vnd.openxml-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Small"/>
      </w:pPr>
      <w:r>
        <w:rPr>
          <w:b/>
          <w:color w:val="8A5A2B"/>
        </w:rPr>
        <w:t xml:space="preserve">ANAY CONSULTANTS &amp; ENGINEERS</w:t>
      </w:r>
      <w:r>
        <w:rPr>
          <w:color w:val="8A5A2B"/>
        </w:rPr>
        <w:t xml:space="preserve"/>
      </w:r>
    </w:p>
    <w:p>
      <w:pPr>
        <w:pStyle w:val="Small"/>
      </w:pPr>
      <w:r>
        <w:rPr>
          <w:color w:val="5A6469"/>
        </w:rPr>
        <w:t xml:space="preserve">07  |  ACE SERVICE GUIDE</w:t>
      </w:r>
    </w:p>
    <w:p>
      <w:pPr>
        <w:pStyle w:val="Title"/>
      </w:pPr>
      <w:r>
        <w:t xml:space="preserve">Residential &amp; Commercial Building Inspection</w:t>
      </w:r>
    </w:p>
    <w:p>
      <w:pPr>
        <w:pStyle w:val="Subtitle"/>
      </w:pPr>
      <w:r>
        <w:t xml:space="preserve">Room-by-room property inspection, defect diagnosis and practical care planning for homes, apartments, offices and commercial buildings.</w:t>
      </w:r>
    </w:p>
    <w:p>
      <w:pPr>
        <w:pStyle w:val="Small"/>
      </w:pPr>
      <w:r>
        <w:t xml:space="preserve">Prepared for service communication, technical briefing and project scoping</w:t>
      </w:r>
    </w:p>
    <w:p>
      <w:pPr>
        <w:pStyle w:val="Small"/>
      </w:pPr>
      <w:r>
        <w:t xml:space="preserve">Version 1.0  |  17 October 2026  |  Indore, Madhya Pradesh</w:t>
      </w:r>
    </w:p>
    <w:p>
      <w:pPr>
        <w:pStyle w:val="Note"/>
      </w:pPr>
      <w:r>
        <w:rPr>
          <w:b/>
          <w:color w:val="8A5A2B"/>
        </w:rPr>
        <w:t>Important: </w:t>
      </w:r>
      <w:r>
        <w:rPr>
          <w:i/>
          <w:color w:val="5A4635"/>
        </w:rPr>
        <w:t xml:space="preserve">This guide is a detailed service description, not a statutory approval, accreditation certificate, legal opinion or guarantee of project outcome. Applicable standards, permissions, accreditation scope and deliverables must be confirmed for the specific assignment.</w:t>
      </w:r>
    </w:p>
    <w:p>
      <w:pPr>
        <w:pStyle w:val="Normal"/>
      </w:pPr>
      <w:r>
        <w:br w:type="page"/>
      </w:r>
    </w:p>
    <w:p>
      <w:pPr>
        <w:pStyle w:val="Heading1"/>
        <w:keepNext/>
      </w:pPr>
      <w:r>
        <w:t xml:space="preserve">1. Service overview</w:t>
      </w:r>
    </w:p>
    <w:p>
      <w:pPr>
        <w:pStyle w:val="Normal"/>
      </w:pPr>
      <w:r>
        <w:t xml:space="preserve">A building inspection should do more than list visible defects. It should connect symptoms to likely causes, show the evidence, explain the risk and give the owner a sensible next step. ACE combines a structured property checklist with instrument-assisted checks for dampness, seepage, concealed leakage, concrete condition, electrical safety, plumbing and water-quality screening.</w:t>
      </w:r>
    </w:p>
    <w:p>
      <w:pPr>
        <w:pStyle w:val="Normal"/>
      </w:pPr>
      <w:r>
        <w:t xml:space="preserve">The service is suited to pre-purchase reviews, handover inspections, defect-liability checks, renovation planning, preventive maintenance and commercial property condition assessments. Qualified engineers and suitably competent specialists are included according to the property, test method and responsibility defined in the appointment.</w:t>
      </w:r>
    </w:p>
    <w:p>
      <w:pPr>
        <w:pStyle w:val="Normal"/>
      </w:pPr>
      <w:r>
        <w:t xml:space="preserve">The guide describes inspection and screening work, not an automatic structural-safety certificate, statutory approval, laboratory accreditation or repair warranty. Hidden conditions, destructive openings, specialist design, statutory permissions and final certifications are separately scoped where required.</w:t>
      </w:r>
    </w:p>
    <w:p>
      <w:pPr>
        <w:pStyle w:val="Heading1"/>
        <w:keepNext/>
      </w:pPr>
      <w:r>
        <w:t xml:space="preserve">2. Scope of work</w:t>
      </w:r>
    </w:p>
    <w:p>
      <w:pPr>
        <w:pStyle w:val="Normal"/>
      </w:pPr>
      <w:r>
        <w:t xml:space="preserve">The brief records the property type, age, occupancy, complaint history, access, inspection purpose and requested checklist. The team then plans a visual room-by-room review, photographs, accessible measurements and any instrument checks that can answer the client’s question without creating an unsafe or destructive intervention.</w:t>
      </w:r>
    </w:p>
    <w:p>
      <w:pPr>
        <w:pStyle w:val="Normal"/>
      </w:pPr>
      <w:r>
        <w:t xml:space="preserve">Depending on the assignment, the work can cover cracks and movement indicators, dampness and seepage, waterproofing, floors and woodwork, doors and windows, electrical points and distribution boards, plumbing and drainage, fire and access observations, construction-quality screening and pH/TDS water screening. Thermal, moisture, acoustic, ultrasonic and concrete NDT methods are used only where the evidence and method are suitable.</w:t>
      </w:r>
    </w:p>
    <w:p>
      <w:pPr>
        <w:pStyle w:val="Normal"/>
      </w:pPr>
      <w:r>
        <w:t xml:space="preserve">The report separates observed facts, screening indications, likely causes, limitations and recommended actions. Repair specifications, structural design, destructive investigation, laboratory testing, waterproofing treatment and post-repair verification are added when the property condition or client decision requires them.</w:t>
      </w:r>
    </w:p>
    <w:p>
      <w:pPr>
        <w:pStyle w:val="Heading1"/>
        <w:keepNext/>
      </w:pPr>
      <w:r>
        <w:t xml:space="preserve">3. Detailed service components</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3000"/>
        <w:gridCol w:w="6900"/>
      </w:tblGrid>
      <w:tr>
        <w:tc>
          <w:tcPr>
            <w:tcW w:w="3000" w:type="dxa"/>
            <w:shd w:fill="193B4A"/>
          </w:tcPr>
          <w:p>
            <w:pPr>
              <w:pStyle w:val="TableHeader"/>
            </w:pPr>
            <w:r>
              <w:rPr>
                <w:color w:val="FFFFFF"/>
              </w:rPr>
              <w:t xml:space="preserve">Service component</w:t>
            </w:r>
          </w:p>
        </w:tc>
        <w:tc>
          <w:tcPr>
            <w:tcW w:w="6900" w:type="dxa"/>
            <w:shd w:fill="193B4A"/>
          </w:tcPr>
          <w:p>
            <w:pPr>
              <w:pStyle w:val="TableHeader"/>
            </w:pPr>
            <w:r>
              <w:rPr>
                <w:color w:val="FFFFFF"/>
              </w:rPr>
              <w:t xml:space="preserve">What the assignment may include</w:t>
            </w:r>
          </w:p>
        </w:tc>
      </w:tr>
      <w:tr>
        <w:tc>
          <w:tcPr>
            <w:tcW w:w="3000" w:type="dxa"/>
          </w:tcPr>
          <w:p>
            <w:pPr>
              <w:pStyle w:val="TableText"/>
            </w:pPr>
            <w:r>
              <w:rPr>
                <w:color w:val="25323A"/>
              </w:rPr>
              <w:t xml:space="preserve">Pre-purchase and handover inspection</w:t>
            </w:r>
          </w:p>
        </w:tc>
        <w:tc>
          <w:tcPr>
            <w:tcW w:w="6900" w:type="dxa"/>
          </w:tcPr>
          <w:p>
            <w:pPr>
              <w:pStyle w:val="TableText"/>
            </w:pPr>
            <w:r>
              <w:rPr>
                <w:color w:val="25323A"/>
              </w:rPr>
              <w:t xml:space="preserve">Review the property before purchase, possession, fit-out completion, defect-liability expiry or major renovation; record accessible condition and incomplete works.</w:t>
            </w:r>
          </w:p>
        </w:tc>
      </w:tr>
      <w:tr>
        <w:tc>
          <w:tcPr>
            <w:tcW w:w="3000" w:type="dxa"/>
          </w:tcPr>
          <w:p>
            <w:pPr>
              <w:pStyle w:val="TableText"/>
            </w:pPr>
            <w:r>
              <w:rPr>
                <w:color w:val="25323A"/>
              </w:rPr>
              <w:t xml:space="preserve">Room-by-room condition checklist</w:t>
            </w:r>
          </w:p>
        </w:tc>
        <w:tc>
          <w:tcPr>
            <w:tcW w:w="6900" w:type="dxa"/>
          </w:tcPr>
          <w:p>
            <w:pPr>
              <w:pStyle w:val="TableText"/>
            </w:pPr>
            <w:r>
              <w:rPr>
                <w:color w:val="25323A"/>
              </w:rPr>
              <w:t xml:space="preserve">Review floors, walls, ceilings, doors, windows, woodwork, finishes, fixtures, visible services, safety access and signs of poor workmanship or deterioration.</w:t>
            </w:r>
          </w:p>
        </w:tc>
      </w:tr>
      <w:tr>
        <w:tc>
          <w:tcPr>
            <w:tcW w:w="3000" w:type="dxa"/>
          </w:tcPr>
          <w:p>
            <w:pPr>
              <w:pStyle w:val="TableText"/>
            </w:pPr>
            <w:r>
              <w:rPr>
                <w:color w:val="25323A"/>
              </w:rPr>
              <w:t xml:space="preserve">Dampness and seepage assessment</w:t>
            </w:r>
          </w:p>
        </w:tc>
        <w:tc>
          <w:tcPr>
            <w:tcW w:w="6900" w:type="dxa"/>
          </w:tcPr>
          <w:p>
            <w:pPr>
              <w:pStyle w:val="TableText"/>
            </w:pPr>
            <w:r>
              <w:rPr>
                <w:color w:val="25323A"/>
              </w:rPr>
              <w:t xml:space="preserve">Use visual evidence, moisture readings and thermal patterns where suitable to map damp patches, seepage, condensation, failed waterproofing and likely follow-up locations.</w:t>
            </w:r>
          </w:p>
        </w:tc>
      </w:tr>
      <w:tr>
        <w:tc>
          <w:tcPr>
            <w:tcW w:w="3000" w:type="dxa"/>
          </w:tcPr>
          <w:p>
            <w:pPr>
              <w:pStyle w:val="TableText"/>
            </w:pPr>
            <w:r>
              <w:rPr>
                <w:color w:val="25323A"/>
              </w:rPr>
              <w:t xml:space="preserve">Leak and drainage tracing</w:t>
            </w:r>
          </w:p>
        </w:tc>
        <w:tc>
          <w:tcPr>
            <w:tcW w:w="6900" w:type="dxa"/>
          </w:tcPr>
          <w:p>
            <w:pPr>
              <w:pStyle w:val="TableText"/>
            </w:pPr>
            <w:r>
              <w:rPr>
                <w:color w:val="25323A"/>
              </w:rPr>
              <w:t xml:space="preserve">Use accessible inspection, pressure or flow observations and acoustic or ultrasonic methods where appropriate to narrow concealed water-leak or blockage locations.</w:t>
            </w:r>
          </w:p>
        </w:tc>
      </w:tr>
      <w:tr>
        <w:tc>
          <w:tcPr>
            <w:tcW w:w="3000" w:type="dxa"/>
          </w:tcPr>
          <w:p>
            <w:pPr>
              <w:pStyle w:val="TableText"/>
            </w:pPr>
            <w:r>
              <w:rPr>
                <w:color w:val="25323A"/>
              </w:rPr>
              <w:t xml:space="preserve">Concrete and construction-quality screening</w:t>
            </w:r>
          </w:p>
        </w:tc>
        <w:tc>
          <w:tcPr>
            <w:tcW w:w="6900" w:type="dxa"/>
          </w:tcPr>
          <w:p>
            <w:pPr>
              <w:pStyle w:val="TableText"/>
            </w:pPr>
            <w:r>
              <w:rPr>
                <w:color w:val="25323A"/>
              </w:rPr>
              <w:t xml:space="preserve">Coordinate rebound hammer, ultrasonic pulse velocity, half-cell potential, cover or related non-destructive methods where specified; interpret them as assessment inputs, not a single-test safety verdict.</w:t>
            </w:r>
          </w:p>
        </w:tc>
      </w:tr>
      <w:tr>
        <w:tc>
          <w:tcPr>
            <w:tcW w:w="3000" w:type="dxa"/>
          </w:tcPr>
          <w:p>
            <w:pPr>
              <w:pStyle w:val="TableText"/>
            </w:pPr>
            <w:r>
              <w:rPr>
                <w:color w:val="25323A"/>
              </w:rPr>
              <w:t xml:space="preserve">Electrical condition review</w:t>
            </w:r>
          </w:p>
        </w:tc>
        <w:tc>
          <w:tcPr>
            <w:tcW w:w="6900" w:type="dxa"/>
          </w:tcPr>
          <w:p>
            <w:pPr>
              <w:pStyle w:val="TableText"/>
            </w:pPr>
            <w:r>
              <w:rPr>
                <w:color w:val="25323A"/>
              </w:rPr>
              <w:t xml:space="preserve">Check accessible panels, wiring condition, sockets, lamps, protection devices, earthing indicators and unsafe alterations through suitably qualified personnel and the agreed checklist.</w:t>
            </w:r>
          </w:p>
        </w:tc>
      </w:tr>
      <w:tr>
        <w:tc>
          <w:tcPr>
            <w:tcW w:w="3000" w:type="dxa"/>
          </w:tcPr>
          <w:p>
            <w:pPr>
              <w:pStyle w:val="TableText"/>
            </w:pPr>
            <w:r>
              <w:rPr>
                <w:color w:val="25323A"/>
              </w:rPr>
              <w:t xml:space="preserve">Plumbing and water-quality screening</w:t>
            </w:r>
          </w:p>
        </w:tc>
        <w:tc>
          <w:tcPr>
            <w:tcW w:w="6900" w:type="dxa"/>
          </w:tcPr>
          <w:p>
            <w:pPr>
              <w:pStyle w:val="TableText"/>
            </w:pPr>
            <w:r>
              <w:rPr>
                <w:color w:val="25323A"/>
              </w:rPr>
              <w:t xml:space="preserve">Review accessible supply, drainage, fixtures, joints, pipe supports, leakage and blockage indicators; screen pH/TDS and recommend laboratory testing where compliance or potability is at issue.</w:t>
            </w:r>
          </w:p>
        </w:tc>
      </w:tr>
      <w:tr>
        <w:tc>
          <w:tcPr>
            <w:tcW w:w="3000" w:type="dxa"/>
          </w:tcPr>
          <w:p>
            <w:pPr>
              <w:pStyle w:val="TableText"/>
            </w:pPr>
            <w:r>
              <w:rPr>
                <w:color w:val="25323A"/>
              </w:rPr>
              <w:t xml:space="preserve">Waterproofing and repair planning</w:t>
            </w:r>
          </w:p>
        </w:tc>
        <w:tc>
          <w:tcPr>
            <w:tcW w:w="6900" w:type="dxa"/>
          </w:tcPr>
          <w:p>
            <w:pPr>
              <w:pStyle w:val="TableText"/>
            </w:pPr>
            <w:r>
              <w:rPr>
                <w:color w:val="25323A"/>
              </w:rPr>
              <w:t xml:space="preserve">Identify likely failure mechanisms, recommend preparation and repair options, and document the applicator, system, exclusions and written warranty terms where treatment is separately contracted.</w:t>
            </w:r>
          </w:p>
        </w:tc>
      </w:tr>
      <w:tr>
        <w:tc>
          <w:tcPr>
            <w:tcW w:w="3000" w:type="dxa"/>
          </w:tcPr>
          <w:p>
            <w:pPr>
              <w:pStyle w:val="TableText"/>
            </w:pPr>
            <w:r>
              <w:rPr>
                <w:color w:val="25323A"/>
              </w:rPr>
              <w:t xml:space="preserve">Expert guidance and future care</w:t>
            </w:r>
          </w:p>
        </w:tc>
        <w:tc>
          <w:tcPr>
            <w:tcW w:w="6900" w:type="dxa"/>
          </w:tcPr>
          <w:p>
            <w:pPr>
              <w:pStyle w:val="TableText"/>
            </w:pPr>
            <w:r>
              <w:rPr>
                <w:color w:val="25323A"/>
              </w:rPr>
              <w:t xml:space="preserve">Prioritise urgent, planned and monitor-only findings, explain the next specialist decision and provide a maintenance or re-inspection plan.</w:t>
            </w:r>
          </w:p>
        </w:tc>
      </w:tr>
    </w:tbl>
    <w:p>
      <w:pPr>
        <w:pStyle w:val="Heading1"/>
        <w:keepNext/>
      </w:pPr>
      <w:r>
        <w:t xml:space="preserve">4. Standards, codes and government guidance</w:t>
      </w:r>
    </w:p>
    <w:p>
      <w:pPr>
        <w:pStyle w:val="Normal"/>
      </w:pPr>
      <w:r>
        <w:t xml:space="preserve">The following references are commonly relevant to this service. The controlling edition, amendment, method, authority requirement and contract specification must be checked before issue or execution.</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600"/>
        <w:gridCol w:w="7300"/>
      </w:tblGrid>
      <w:tr>
        <w:tc>
          <w:tcPr>
            <w:tcW w:w="2600" w:type="dxa"/>
            <w:shd w:fill="193B4A"/>
          </w:tcPr>
          <w:p>
            <w:pPr>
              <w:pStyle w:val="TableHeader"/>
            </w:pPr>
            <w:r>
              <w:rPr>
                <w:color w:val="FFFFFF"/>
              </w:rPr>
              <w:t xml:space="preserve">Reference area</w:t>
            </w:r>
          </w:p>
        </w:tc>
        <w:tc>
          <w:tcPr>
            <w:tcW w:w="7300" w:type="dxa"/>
            <w:shd w:fill="193B4A"/>
          </w:tcPr>
          <w:p>
            <w:pPr>
              <w:pStyle w:val="TableHeader"/>
            </w:pPr>
            <w:r>
              <w:rPr>
                <w:color w:val="FFFFFF"/>
              </w:rPr>
              <w:t xml:space="preserve">Applicable references and use</w:t>
            </w:r>
          </w:p>
        </w:tc>
      </w:tr>
      <w:tr>
        <w:tc>
          <w:tcPr>
            <w:tcW w:w="2600" w:type="dxa"/>
          </w:tcPr>
          <w:p>
            <w:pPr>
              <w:pStyle w:val="TableText"/>
            </w:pPr>
            <w:r>
              <w:rPr>
                <w:color w:val="25323A"/>
              </w:rPr>
              <w:t xml:space="preserve">Building and project basis</w:t>
            </w:r>
          </w:p>
        </w:tc>
        <w:tc>
          <w:tcPr>
            <w:tcW w:w="7300" w:type="dxa"/>
          </w:tcPr>
          <w:p>
            <w:pPr>
              <w:pStyle w:val="TableText"/>
            </w:pPr>
            <w:r>
              <w:rPr>
                <w:color w:val="25323A"/>
              </w:rPr>
              <w:t xml:space="preserve">National Building Code of India, approved drawings, developer or society handover checklist, contract specifications and project quality records where applicable.</w:t>
            </w:r>
          </w:p>
        </w:tc>
      </w:tr>
      <w:tr>
        <w:tc>
          <w:tcPr>
            <w:tcW w:w="2600" w:type="dxa"/>
          </w:tcPr>
          <w:p>
            <w:pPr>
              <w:pStyle w:val="TableText"/>
            </w:pPr>
            <w:r>
              <w:rPr>
                <w:color w:val="25323A"/>
              </w:rPr>
              <w:t xml:space="preserve">Concrete and structural references</w:t>
            </w:r>
          </w:p>
        </w:tc>
        <w:tc>
          <w:tcPr>
            <w:tcW w:w="7300" w:type="dxa"/>
          </w:tcPr>
          <w:p>
            <w:pPr>
              <w:pStyle w:val="TableText"/>
            </w:pPr>
            <w:r>
              <w:rPr>
                <w:color w:val="25323A"/>
              </w:rPr>
              <w:t xml:space="preserve">IS 456, IS 13311 Part 1 and Part 2, IS 516 Part 5 and IS 15988 or the structural-evaluation method adopted by the appointed structural engineer where applicable.</w:t>
            </w:r>
          </w:p>
        </w:tc>
      </w:tr>
      <w:tr>
        <w:tc>
          <w:tcPr>
            <w:tcW w:w="2600" w:type="dxa"/>
          </w:tcPr>
          <w:p>
            <w:pPr>
              <w:pStyle w:val="TableText"/>
            </w:pPr>
            <w:r>
              <w:rPr>
                <w:color w:val="25323A"/>
              </w:rPr>
              <w:t xml:space="preserve">Electrical safety</w:t>
            </w:r>
          </w:p>
        </w:tc>
        <w:tc>
          <w:tcPr>
            <w:tcW w:w="7300" w:type="dxa"/>
          </w:tcPr>
          <w:p>
            <w:pPr>
              <w:pStyle w:val="TableText"/>
            </w:pPr>
            <w:r>
              <w:rPr>
                <w:color w:val="25323A"/>
              </w:rPr>
              <w:t xml:space="preserve">IS 732, Central Electricity Authority safety requirements and the checklist or test method adopted by the responsible electrical professional.</w:t>
            </w:r>
          </w:p>
        </w:tc>
      </w:tr>
      <w:tr>
        <w:tc>
          <w:tcPr>
            <w:tcW w:w="2600" w:type="dxa"/>
          </w:tcPr>
          <w:p>
            <w:pPr>
              <w:pStyle w:val="TableText"/>
            </w:pPr>
            <w:r>
              <w:rPr>
                <w:color w:val="25323A"/>
              </w:rPr>
              <w:t xml:space="preserve">Water quality</w:t>
            </w:r>
          </w:p>
        </w:tc>
        <w:tc>
          <w:tcPr>
            <w:tcW w:w="7300" w:type="dxa"/>
          </w:tcPr>
          <w:p>
            <w:pPr>
              <w:pStyle w:val="TableText"/>
            </w:pPr>
            <w:r>
              <w:rPr>
                <w:color w:val="25323A"/>
              </w:rPr>
              <w:t xml:space="preserve">IS 10500 and the laboratory’s adopted methods when screening progresses to drinking-water, potability or compliance testing.</w:t>
            </w:r>
          </w:p>
        </w:tc>
      </w:tr>
      <w:tr>
        <w:tc>
          <w:tcPr>
            <w:tcW w:w="2600" w:type="dxa"/>
          </w:tcPr>
          <w:p>
            <w:pPr>
              <w:pStyle w:val="TableText"/>
            </w:pPr>
            <w:r>
              <w:rPr>
                <w:color w:val="25323A"/>
              </w:rPr>
              <w:t xml:space="preserve">Waterproofing</w:t>
            </w:r>
          </w:p>
        </w:tc>
        <w:tc>
          <w:tcPr>
            <w:tcW w:w="7300" w:type="dxa"/>
          </w:tcPr>
          <w:p>
            <w:pPr>
              <w:pStyle w:val="TableText"/>
            </w:pPr>
            <w:r>
              <w:rPr>
                <w:color w:val="25323A"/>
              </w:rPr>
              <w:t xml:space="preserve">Approved system specifications, substrate-preparation requirements, manufacturer instructions and the written warranty conditions of the responsible applicator.</w:t>
            </w:r>
          </w:p>
        </w:tc>
      </w:tr>
      <w:tr>
        <w:tc>
          <w:tcPr>
            <w:tcW w:w="2600" w:type="dxa"/>
          </w:tcPr>
          <w:p>
            <w:pPr>
              <w:pStyle w:val="TableText"/>
            </w:pPr>
            <w:r>
              <w:rPr>
                <w:color w:val="25323A"/>
              </w:rPr>
              <w:t xml:space="preserve">Test responsibility</w:t>
            </w:r>
          </w:p>
        </w:tc>
        <w:tc>
          <w:tcPr>
            <w:tcW w:w="7300" w:type="dxa"/>
          </w:tcPr>
          <w:p>
            <w:pPr>
              <w:pStyle w:val="TableText"/>
            </w:pPr>
            <w:r>
              <w:rPr>
                <w:color w:val="25323A"/>
              </w:rPr>
              <w:t xml:space="preserve">NDT, laboratory testing, structural opinions, statutory approvals and specialist certificates must be performed or signed by the qualified or recognized party required for the assignment.</w:t>
            </w:r>
          </w:p>
        </w:tc>
      </w:tr>
    </w:tbl>
    <w:p>
      <w:pPr>
        <w:pStyle w:val="Heading1"/>
        <w:keepNext/>
      </w:pPr>
      <w:r>
        <w:t xml:space="preserve">5. Target clients and project types</w:t>
      </w:r>
    </w:p>
    <w:p>
      <w:pPr>
        <w:pStyle w:val="Normal"/>
      </w:pPr>
      <w:r>
        <w:t xml:space="preserve">This service is suited to the following client groups and project situations, subject to the agreed scope and procurement route:</w:t>
      </w:r>
    </w:p>
    <w:p>
      <w:pPr>
        <w:pStyle w:val="ListParagraph"/>
        <w:numPr>
          <w:ilvl w:val="0"/>
          <w:numId w:val="1"/>
        </w:numPr>
      </w:pPr>
      <w:r>
        <w:t xml:space="preserve">Home buyers, homeowners, landlords and resident welfare or apartment-society teams.</w:t>
      </w:r>
    </w:p>
    <w:p>
      <w:pPr>
        <w:pStyle w:val="ListParagraph"/>
        <w:numPr>
          <w:ilvl w:val="0"/>
          <w:numId w:val="1"/>
        </w:numPr>
      </w:pPr>
      <w:r>
        <w:t xml:space="preserve">Builders, developers and handover or defect-liability teams.</w:t>
      </w:r>
    </w:p>
    <w:p>
      <w:pPr>
        <w:pStyle w:val="ListParagraph"/>
        <w:numPr>
          <w:ilvl w:val="0"/>
          <w:numId w:val="1"/>
        </w:numPr>
      </w:pPr>
      <w:r>
        <w:t xml:space="preserve">Commercial property owners, facility managers and maintenance contractors.</w:t>
      </w:r>
    </w:p>
    <w:p>
      <w:pPr>
        <w:pStyle w:val="ListParagraph"/>
        <w:numPr>
          <w:ilvl w:val="0"/>
          <w:numId w:val="1"/>
        </w:numPr>
      </w:pPr>
      <w:r>
        <w:t xml:space="preserve">Offices, retail, hotels, schools, hospitals, warehouses and institutional buildings.</w:t>
      </w:r>
    </w:p>
    <w:p>
      <w:pPr>
        <w:pStyle w:val="ListParagraph"/>
        <w:numPr>
          <w:ilvl w:val="0"/>
          <w:numId w:val="1"/>
        </w:numPr>
      </w:pPr>
      <w:r>
        <w:t xml:space="preserve">Banks, insurers, lenders or due-diligence teams requiring a condition record.</w:t>
      </w:r>
    </w:p>
    <w:p>
      <w:pPr>
        <w:pStyle w:val="ListParagraph"/>
        <w:numPr>
          <w:ilvl w:val="0"/>
          <w:numId w:val="1"/>
        </w:numPr>
      </w:pPr>
      <w:r>
        <w:t xml:space="preserve">Owners planning renovation, waterproofing, repair or preventive-maintenance work.</w:t>
      </w:r>
    </w:p>
    <w:p>
      <w:pPr>
        <w:pStyle w:val="Heading1"/>
        <w:keepNext/>
      </w:pPr>
      <w:r>
        <w:t xml:space="preserve">6. Delivery workflow</w:t>
      </w:r>
    </w:p>
    <w:p>
      <w:pPr>
        <w:pStyle w:val="Normal"/>
      </w:pPr>
      <w:r>
        <w:t xml:space="preserve">A clear brief and traceable records reduce rework. A typical engagement follows these steps:</w:t>
      </w:r>
    </w:p>
    <w:p>
      <w:pPr>
        <w:pStyle w:val="ListParagraph"/>
        <w:numPr>
          <w:ilvl w:val="0"/>
          <w:numId w:val="2"/>
        </w:numPr>
      </w:pPr>
      <w:r>
        <w:t xml:space="preserve">Confirm the property type, inspection purpose, access, occupancy, complaint history, drawings and requested checklist.</w:t>
      </w:r>
    </w:p>
    <w:p>
      <w:pPr>
        <w:pStyle w:val="ListParagraph"/>
        <w:numPr>
          <w:ilvl w:val="0"/>
          <w:numId w:val="2"/>
        </w:numPr>
      </w:pPr>
      <w:r>
        <w:t xml:space="preserve">Carry out the visual room-by-room inspection and record locations, photographs, symptoms, accessible measurements and limitations.</w:t>
      </w:r>
    </w:p>
    <w:p>
      <w:pPr>
        <w:pStyle w:val="ListParagraph"/>
        <w:numPr>
          <w:ilvl w:val="0"/>
          <w:numId w:val="2"/>
        </w:numPr>
      </w:pPr>
      <w:r>
        <w:t xml:space="preserve">Use thermal, moisture, acoustic, ultrasonic, electrical or concrete NDT methods only where the agreed scope and evidence justify them.</w:t>
      </w:r>
    </w:p>
    <w:p>
      <w:pPr>
        <w:pStyle w:val="ListParagraph"/>
        <w:numPr>
          <w:ilvl w:val="0"/>
          <w:numId w:val="2"/>
        </w:numPr>
      </w:pPr>
      <w:r>
        <w:t xml:space="preserve">Classify observations by urgency, likely cause, safety relevance, uncertainty and recommended next action.</w:t>
      </w:r>
    </w:p>
    <w:p>
      <w:pPr>
        <w:pStyle w:val="ListParagraph"/>
        <w:numPr>
          <w:ilvl w:val="0"/>
          <w:numId w:val="2"/>
        </w:numPr>
      </w:pPr>
      <w:r>
        <w:t xml:space="preserve">Discuss findings with the client and identify where a structural engineer, electrician, plumber, waterproofing specialist or laboratory is needed.</w:t>
      </w:r>
    </w:p>
    <w:p>
      <w:pPr>
        <w:pStyle w:val="ListParagraph"/>
        <w:numPr>
          <w:ilvl w:val="0"/>
          <w:numId w:val="2"/>
        </w:numPr>
      </w:pPr>
      <w:r>
        <w:t xml:space="preserve">Issue the report, defect register, repair priorities and future-care plan with supporting records.</w:t>
      </w:r>
    </w:p>
    <w:p>
      <w:pPr>
        <w:pStyle w:val="ListParagraph"/>
        <w:numPr>
          <w:ilvl w:val="0"/>
          <w:numId w:val="2"/>
        </w:numPr>
      </w:pPr>
      <w:r>
        <w:t xml:space="preserve">Re-inspect or verify corrective work where included in the appointment; the original inspection is not a repair warranty.</w:t>
      </w:r>
    </w:p>
    <w:p>
      <w:pPr>
        <w:pStyle w:val="Heading1"/>
        <w:keepNext/>
      </w:pPr>
      <w:r>
        <w:t xml:space="preserve">7. Typical deliverables</w:t>
      </w:r>
    </w:p>
    <w:p>
      <w:pPr>
        <w:pStyle w:val="ListParagraph"/>
        <w:numPr>
          <w:ilvl w:val="0"/>
          <w:numId w:val="1"/>
        </w:numPr>
      </w:pPr>
      <w:r>
        <w:t xml:space="preserve">Room-by-room home or commercial property inspection checklist.</w:t>
      </w:r>
    </w:p>
    <w:p>
      <w:pPr>
        <w:pStyle w:val="ListParagraph"/>
        <w:numPr>
          <w:ilvl w:val="0"/>
          <w:numId w:val="1"/>
        </w:numPr>
      </w:pPr>
      <w:r>
        <w:t xml:space="preserve">Photographic defect register with location, severity, observation and recommended action.</w:t>
      </w:r>
    </w:p>
    <w:p>
      <w:pPr>
        <w:pStyle w:val="ListParagraph"/>
        <w:numPr>
          <w:ilvl w:val="0"/>
          <w:numId w:val="1"/>
        </w:numPr>
      </w:pPr>
      <w:r>
        <w:t xml:space="preserve">Moisture, thermal and leak-tracing observations where performed.</w:t>
      </w:r>
    </w:p>
    <w:p>
      <w:pPr>
        <w:pStyle w:val="ListParagraph"/>
        <w:numPr>
          <w:ilvl w:val="0"/>
          <w:numId w:val="1"/>
        </w:numPr>
      </w:pPr>
      <w:r>
        <w:t xml:space="preserve">NDT and construction-quality screening records where included.</w:t>
      </w:r>
    </w:p>
    <w:p>
      <w:pPr>
        <w:pStyle w:val="ListParagraph"/>
        <w:numPr>
          <w:ilvl w:val="0"/>
          <w:numId w:val="1"/>
        </w:numPr>
      </w:pPr>
      <w:r>
        <w:t xml:space="preserve">Electrical, plumbing, drainage and accessible service-condition observations.</w:t>
      </w:r>
    </w:p>
    <w:p>
      <w:pPr>
        <w:pStyle w:val="ListParagraph"/>
        <w:numPr>
          <w:ilvl w:val="0"/>
          <w:numId w:val="1"/>
        </w:numPr>
      </w:pPr>
      <w:r>
        <w:t xml:space="preserve">pH/TDS screening record or laboratory-test recommendation where relevant.</w:t>
      </w:r>
    </w:p>
    <w:p>
      <w:pPr>
        <w:pStyle w:val="ListParagraph"/>
        <w:numPr>
          <w:ilvl w:val="0"/>
          <w:numId w:val="1"/>
        </w:numPr>
      </w:pPr>
      <w:r>
        <w:t xml:space="preserve">Waterproofing, repair-priority, maintenance and re-inspection action plan.</w:t>
      </w:r>
    </w:p>
    <w:p>
      <w:pPr>
        <w:pStyle w:val="Heading1"/>
        <w:keepNext/>
      </w:pPr>
      <w:r>
        <w:t xml:space="preserve">8. Benefits and decision value</w:t>
      </w:r>
    </w:p>
    <w:p>
      <w:pPr>
        <w:pStyle w:val="ListParagraph"/>
        <w:numPr>
          <w:ilvl w:val="0"/>
          <w:numId w:val="1"/>
        </w:numPr>
      </w:pPr>
      <w:r>
        <w:t xml:space="preserve">A single, organised record of visible property condition and priority defects.</w:t>
      </w:r>
    </w:p>
    <w:p>
      <w:pPr>
        <w:pStyle w:val="ListParagraph"/>
        <w:numPr>
          <w:ilvl w:val="0"/>
          <w:numId w:val="1"/>
        </w:numPr>
      </w:pPr>
      <w:r>
        <w:t xml:space="preserve">Earlier identification of moisture, seepage, leakage, electrical, plumbing and safety risks.</w:t>
      </w:r>
    </w:p>
    <w:p>
      <w:pPr>
        <w:pStyle w:val="ListParagraph"/>
        <w:numPr>
          <w:ilvl w:val="0"/>
          <w:numId w:val="1"/>
        </w:numPr>
      </w:pPr>
      <w:r>
        <w:t xml:space="preserve">Evidence to support purchase, handover, contractor rectification and maintenance decisions.</w:t>
      </w:r>
    </w:p>
    <w:p>
      <w:pPr>
        <w:pStyle w:val="ListParagraph"/>
        <w:numPr>
          <w:ilvl w:val="0"/>
          <w:numId w:val="1"/>
        </w:numPr>
      </w:pPr>
      <w:r>
        <w:t xml:space="preserve">A clearer distinction between cosmetic defects, service failures and issues needing structural review.</w:t>
      </w:r>
    </w:p>
    <w:p>
      <w:pPr>
        <w:pStyle w:val="ListParagraph"/>
        <w:numPr>
          <w:ilvl w:val="0"/>
          <w:numId w:val="1"/>
        </w:numPr>
      </w:pPr>
      <w:r>
        <w:t xml:space="preserve">Repair recommendations that address likely causes rather than only covering symptoms.</w:t>
      </w:r>
    </w:p>
    <w:p>
      <w:pPr>
        <w:pStyle w:val="ListParagraph"/>
        <w:numPr>
          <w:ilvl w:val="0"/>
          <w:numId w:val="1"/>
        </w:numPr>
      </w:pPr>
      <w:r>
        <w:t xml:space="preserve">A practical care plan with urgency, specialist input and follow-up checks.</w:t>
      </w:r>
    </w:p>
    <w:p>
      <w:pPr>
        <w:pStyle w:val="Heading1"/>
        <w:keepNext/>
      </w:pPr>
      <w:r>
        <w:t xml:space="preserve">9. Responsibilities and claim boundaries</w:t>
      </w:r>
    </w:p>
    <w:p>
      <w:pPr>
        <w:pStyle w:val="ListParagraph"/>
        <w:numPr>
          <w:ilvl w:val="0"/>
          <w:numId w:val="1"/>
        </w:numPr>
      </w:pPr>
      <w:r>
        <w:t xml:space="preserve">An inspection records the agreed accessible observations and screening results; it is not an unlimited guarantee that every hidden condition or future failure has been detected.</w:t>
      </w:r>
    </w:p>
    <w:p>
      <w:pPr>
        <w:pStyle w:val="ListParagraph"/>
        <w:numPr>
          <w:ilvl w:val="0"/>
          <w:numId w:val="1"/>
        </w:numPr>
      </w:pPr>
      <w:r>
        <w:t xml:space="preserve">A home inspection is not automatically a structural-safety certificate, completion certificate, statutory approval, valuation or legal opinion.</w:t>
      </w:r>
    </w:p>
    <w:p>
      <w:pPr>
        <w:pStyle w:val="ListParagraph"/>
        <w:numPr>
          <w:ilvl w:val="0"/>
          <w:numId w:val="1"/>
        </w:numPr>
      </w:pPr>
      <w:r>
        <w:t xml:space="preserve">Thermal, moisture, acoustic and ultrasonic tools help locate patterns but cannot guarantee the exact origin of every concealed leak or damp condition.</w:t>
      </w:r>
    </w:p>
    <w:p>
      <w:pPr>
        <w:pStyle w:val="ListParagraph"/>
        <w:numPr>
          <w:ilvl w:val="0"/>
          <w:numId w:val="1"/>
        </w:numPr>
      </w:pPr>
      <w:r>
        <w:t xml:space="preserve">Rebound hammer, UPV, half-cell and other NDT readings require method control, representative locations and competent interpretation; a single reading is not a complete safety decision.</w:t>
      </w:r>
    </w:p>
    <w:p>
      <w:pPr>
        <w:pStyle w:val="ListParagraph"/>
        <w:numPr>
          <w:ilvl w:val="0"/>
          <w:numId w:val="1"/>
        </w:numPr>
      </w:pPr>
      <w:r>
        <w:t xml:space="preserve">Electrical work, structural opinions, laboratory analysis, destructive openings and specialist certificates require the qualified or recognized party specified by the assignment.</w:t>
      </w:r>
    </w:p>
    <w:p>
      <w:pPr>
        <w:pStyle w:val="ListParagraph"/>
        <w:numPr>
          <w:ilvl w:val="0"/>
          <w:numId w:val="1"/>
        </w:numPr>
      </w:pPr>
      <w:r>
        <w:t xml:space="preserve">Waterproofing warranties belong to the written treatment contract and responsible applicator; the inspection report itself is not a warranty.</w:t>
      </w:r>
    </w:p>
    <w:p>
      <w:pPr>
        <w:pStyle w:val="ListParagraph"/>
        <w:numPr>
          <w:ilvl w:val="0"/>
          <w:numId w:val="1"/>
        </w:numPr>
      </w:pPr>
      <w:r>
        <w:t xml:space="preserve">Access, occupancy, furnishings, weather, finishes, concealed services and client-provided records can limit the inspection and must be recorded in the report.</w:t>
      </w:r>
    </w:p>
    <w:p>
      <w:pPr>
        <w:pStyle w:val="Heading1"/>
        <w:keepNext/>
      </w:pPr>
      <w:r>
        <w:t xml:space="preserve">10. Frequently asked questions</w:t>
      </w:r>
    </w:p>
    <w:p>
      <w:pPr>
        <w:pStyle w:val="Heading3"/>
        <w:keepNext/>
      </w:pPr>
      <w:r>
        <w:t xml:space="preserve">Is a home inspection the same as a structural safety certificate?</w:t>
      </w:r>
    </w:p>
    <w:p>
      <w:pPr>
        <w:pStyle w:val="Normal"/>
      </w:pPr>
      <w:r>
        <w:t xml:space="preserve">No. A property inspection records the agreed accessible observations and screening results. A structural safety certificate, design opinion or statutory approval requires the scope, calculations, openings, tests and qualified signatory required for that case.</w:t>
      </w:r>
    </w:p>
    <w:p>
      <w:pPr>
        <w:pStyle w:val="Heading3"/>
        <w:keepNext/>
      </w:pPr>
      <w:r>
        <w:t xml:space="preserve">Can thermal imaging find every damp or hidden leak?</w:t>
      </w:r>
    </w:p>
    <w:p>
      <w:pPr>
        <w:pStyle w:val="Normal"/>
      </w:pPr>
      <w:r>
        <w:t xml:space="preserve">No. Thermal and moisture tools help locate patterns and guide follow-up, but temperature, access, finishes, water pressure and the leak path can limit certainty. Targeted opening, pressure testing or specialist investigation may still be needed.</w:t>
      </w:r>
    </w:p>
    <w:p>
      <w:pPr>
        <w:pStyle w:val="Heading3"/>
        <w:keepNext/>
      </w:pPr>
      <w:r>
        <w:t xml:space="preserve">Is rebound hammer testing enough to approve a building?</w:t>
      </w:r>
    </w:p>
    <w:p>
      <w:pPr>
        <w:pStyle w:val="Normal"/>
      </w:pPr>
      <w:r>
        <w:t xml:space="preserve">No. Rebound hammer and other NDT methods are screening or assessment inputs. Interpretation should be linked to the concrete record, visual condition, other tests and the structural engineer’s method; a single reading is not a complete safety decision.</w:t>
      </w:r>
    </w:p>
    <w:p>
      <w:pPr>
        <w:pStyle w:val="Heading3"/>
        <w:keepNext/>
      </w:pPr>
      <w:r>
        <w:t xml:space="preserve">Do you provide an 8–15 year waterproofing warranty?</w:t>
      </w:r>
    </w:p>
    <w:p>
      <w:pPr>
        <w:pStyle w:val="Normal"/>
      </w:pPr>
      <w:r>
        <w:t xml:space="preserve">Warranty-backed treatment options may be proposed for eligible systems, but the duration and exclusions depend on the substrate, preparation, product, access, workmanship and written contract with the responsible applicator. The inspection report is not a warranty.</w:t>
      </w:r>
    </w:p>
    <w:p>
      <w:pPr>
        <w:pStyle w:val="Heading3"/>
        <w:keepNext/>
      </w:pPr>
      <w:r>
        <w:t xml:space="preserve">What issues are normally recorded during an inspection?</w:t>
      </w:r>
    </w:p>
    <w:p>
      <w:pPr>
        <w:pStyle w:val="Normal"/>
      </w:pPr>
      <w:r>
        <w:t xml:space="preserve">The report can record electrical faults, cracks, safety concerns, dampness, woodwork and flooring defects, plumbing or drainage issues, water-quality observations, waterproofing concerns and other accessible building defects.</w:t>
      </w:r>
    </w:p>
    <w:p>
      <w:pPr>
        <w:pStyle w:val="Heading1"/>
        <w:keepNext/>
      </w:pPr>
      <w:r>
        <w:t xml:space="preserve">11. Suggested copyright-free image direction</w:t>
      </w:r>
    </w:p>
    <w:p>
      <w:pPr>
        <w:pStyle w:val="Normal"/>
      </w:pPr>
      <w:r>
        <w:t xml:space="preserve">Use original photography or verify the individual licence before publishing. Unsplash and Pexels are useful search sources, but the licence of the exact asset should still be checked.</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900"/>
        <w:gridCol w:w="7000"/>
      </w:tblGrid>
      <w:tr>
        <w:tc>
          <w:tcPr>
            <w:tcW w:w="2900" w:type="dxa"/>
            <w:shd w:fill="193B4A"/>
          </w:tcPr>
          <w:p>
            <w:pPr>
              <w:pStyle w:val="TableHeader"/>
            </w:pPr>
            <w:r>
              <w:rPr>
                <w:color w:val="FFFFFF"/>
              </w:rPr>
              <w:t xml:space="preserve">Image subject</w:t>
            </w:r>
          </w:p>
        </w:tc>
        <w:tc>
          <w:tcPr>
            <w:tcW w:w="7000" w:type="dxa"/>
            <w:shd w:fill="193B4A"/>
          </w:tcPr>
          <w:p>
            <w:pPr>
              <w:pStyle w:val="TableHeader"/>
            </w:pPr>
            <w:r>
              <w:rPr>
                <w:color w:val="FFFFFF"/>
              </w:rPr>
              <w:t xml:space="preserve">Description and search keywords</w:t>
            </w:r>
          </w:p>
        </w:tc>
      </w:tr>
      <w:tr>
        <w:tc>
          <w:tcPr>
            <w:tcW w:w="2900" w:type="dxa"/>
          </w:tcPr>
          <w:p>
            <w:pPr>
              <w:pStyle w:val="TableText"/>
            </w:pPr>
            <w:r>
              <w:rPr>
                <w:color w:val="25323A"/>
              </w:rPr>
              <w:t xml:space="preserve">Home inspector checking concealed plumbing</w:t>
            </w:r>
          </w:p>
        </w:tc>
        <w:tc>
          <w:tcPr>
            <w:tcW w:w="7000" w:type="dxa"/>
          </w:tcPr>
          <w:p>
            <w:pPr>
              <w:pStyle w:val="TableText"/>
            </w:pPr>
            <w:r>
              <w:rPr>
                <w:color w:val="25323A"/>
              </w:rPr>
              <w:t xml:space="preserve">An inspector reviewing an accessible sink, pipe or service cabinet with a checklist and safe working posture; avoid showing private client documents. Search keywords: home inspection plumbing checklist property condition India</w:t>
            </w:r>
          </w:p>
        </w:tc>
      </w:tr>
      <w:tr>
        <w:tc>
          <w:tcPr>
            <w:tcW w:w="2900" w:type="dxa"/>
          </w:tcPr>
          <w:p>
            <w:pPr>
              <w:pStyle w:val="TableText"/>
            </w:pPr>
            <w:r>
              <w:rPr>
                <w:color w:val="25323A"/>
              </w:rPr>
              <w:t xml:space="preserve">Thermal and moisture investigation</w:t>
            </w:r>
          </w:p>
        </w:tc>
        <w:tc>
          <w:tcPr>
            <w:tcW w:w="7000" w:type="dxa"/>
          </w:tcPr>
          <w:p>
            <w:pPr>
              <w:pStyle w:val="TableText"/>
            </w:pPr>
            <w:r>
              <w:rPr>
                <w:color w:val="25323A"/>
              </w:rPr>
              <w:t xml:space="preserve">A qualified inspector using a thermal camera or moisture meter near a damp wall, ceiling or service shaft with the defect location documented. Search keywords: thermal imaging moisture inspection damp wall building India</w:t>
            </w:r>
          </w:p>
        </w:tc>
      </w:tr>
      <w:tr>
        <w:tc>
          <w:tcPr>
            <w:tcW w:w="2900" w:type="dxa"/>
          </w:tcPr>
          <w:p>
            <w:pPr>
              <w:pStyle w:val="TableText"/>
            </w:pPr>
            <w:r>
              <w:rPr>
                <w:color w:val="25323A"/>
              </w:rPr>
              <w:t xml:space="preserve">Commercial building condition survey</w:t>
            </w:r>
          </w:p>
        </w:tc>
        <w:tc>
          <w:tcPr>
            <w:tcW w:w="7000" w:type="dxa"/>
          </w:tcPr>
          <w:p>
            <w:pPr>
              <w:pStyle w:val="TableText"/>
            </w:pPr>
            <w:r>
              <w:rPr>
                <w:color w:val="25323A"/>
              </w:rPr>
              <w:t xml:space="preserve">A commercial building façade or interior services area being reviewed for maintenance, defects, safety and handover planning. Search keywords: commercial building condition assessment inspection India</w:t>
            </w:r>
          </w:p>
        </w:tc>
      </w:tr>
    </w:tbl>
    <w:p>
      <w:pPr>
        <w:pStyle w:val="Heading1"/>
        <w:keepNext/>
      </w:pPr>
      <w:r>
        <w:t xml:space="preserve">12. Official source register</w:t>
      </w:r>
    </w:p>
    <w:p>
      <w:pPr>
        <w:pStyle w:val="Normal"/>
      </w:pPr>
      <w:r>
        <w:t xml:space="preserve">The source families below should be checked against the latest official publication, notification or portal before using this guide for a tender, regulatory submission or contractual commitment.</w:t>
      </w:r>
    </w:p>
    <w:p>
      <w:pPr>
        <w:pStyle w:val="Small"/>
      </w:pPr>
      <w:r>
        <w:t xml:space="preserve">Bureau of Indian Standards: https://www.bis.gov.in/</w:t>
      </w:r>
    </w:p>
    <w:p>
      <w:pPr>
        <w:pStyle w:val="Small"/>
      </w:pPr>
      <w:r>
        <w:t xml:space="preserve">Central Public Works Department: https://cpwd.gov.in/</w:t>
      </w:r>
    </w:p>
    <w:p>
      <w:pPr>
        <w:pStyle w:val="Small"/>
      </w:pPr>
      <w:r>
        <w:t xml:space="preserve">Central Electricity Authority: https://cea.nic.in/</w:t>
      </w:r>
    </w:p>
    <w:p>
      <w:pPr>
        <w:pStyle w:val="Small"/>
      </w:pPr>
      <w:r>
        <w:t xml:space="preserve">National Accreditation Board for Testing and Calibration Laboratories: https://nabl-india.org/</w:t>
      </w:r>
    </w:p>
    <w:p>
      <w:pPr>
        <w:pStyle w:val="Heading1"/>
        <w:keepNext/>
      </w:pPr>
      <w:r>
        <w:t xml:space="preserve">13. Conclusion</w:t>
      </w:r>
    </w:p>
    <w:p>
      <w:pPr>
        <w:pStyle w:val="Normal"/>
      </w:pPr>
      <w:r>
        <w:t xml:space="preserve">A good building inspection turns scattered complaints into a documented decision: what is visible, what is indicated, what is urgent, what needs specialist confirmation and what should be monitored.</w:t>
      </w:r>
    </w:p>
    <w:p>
      <w:pPr>
        <w:pStyle w:val="Normal"/>
      </w:pPr>
      <w:r>
        <w:t xml:space="preserve">Before appointment, the client should confirm the property type, inspection purpose, access, requested tests, report format, warranty expectations and responsibility for repairs or statutory approvals.</w:t>
      </w:r>
    </w:p>
    <w:sectPr>
      <w:headerReference xmlns:r="http://schemas.openxmlformats.org/officeDocument/2006/relationships" w:type="default" r:id="rId4"/>
      <w:footerReference xmlns:r="http://schemas.openxmlformats.org/officeDocument/2006/relationships" w:type="default" r:id="rId5"/>
      <w:pgSz w:w="11906" w:h="16838"/>
      <w:pgMar w:top="1080" w:right="1080" w:bottom="1080" w:left="1080" w:header="540" w:footer="540" w:gutter="0"/>
      <w:cols w:space="720"/>
      <w:docGrid w:linePitch="360"/>
    </w:sectPr>
  </w:body>
</w:document>
</file>

<file path=word/footer1.xml><?xml version="1.0" encoding="utf-8"?>
<w:ftr xmlns:w="http://schemas.openxmlformats.org/wordprocessingml/2006/main" xmlns:r="http://schemas.openxmlformats.org/officeDocument/2006/relationships">
  <w:p>
    <w:pPr>
      <w:pStyle w:val="Footer"/>
    </w:pPr>
    <w:r>
      <w:rPr>
        <w:color w:val="6B7478"/>
        <w:sz w:val="16"/>
        <w:szCs w:val="16"/>
      </w:rPr>
      <w:t xml:space="preserve">ACE  |  Detailed service guide  |  </w:t>
    </w:r>
    <w:fldSimple w:instr="PAGE">
      <w:r>
        <w:rPr>
          <w:color w:val="6B7478"/>
          <w:sz w:val="16"/>
        </w:rPr>
      </w:r>
    </w:fldSimple>
  </w:p>
</w:ftr>
</file>

<file path=word/header1.xml><?xml version="1.0" encoding="utf-8"?>
<w:hdr xmlns:w="http://schemas.openxmlformats.org/wordprocessingml/2006/main">
  <w:p>
    <w:pPr>
      <w:pStyle w:val="Header"/>
    </w:pPr>
    <w:r>
      <w:rPr>
        <w:b/>
        <w:color w:val="193B4A"/>
        <w:sz w:val="18"/>
        <w:szCs w:val="18"/>
      </w:rPr>
      <w:t xml:space="preserve">ACE  |  Anay Consultants &amp; Engineers</w:t>
    </w:r>
    <w:r>
      <w:rPr>
        <w:color w:val="8A5A2B"/>
        <w:sz w:val="16"/>
        <w:szCs w:val="16"/>
      </w:rPr>
      <w:t xml:space="preserve">  •  Engineering Data You Can Build On.</w:t>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420" w:hanging="220"/>
      </w:pPr>
      <w:rPr>
        <w:rFonts w:ascii="Arial" w:hAnsi="Arial"/>
      </w:rPr>
    </w:lvl>
  </w:abstractNum>
  <w:abstractNum w:abstractNumId="1">
    <w:multiLevelType w:val="singleLevel"/>
    <w:lvl w:ilvl="0">
      <w:start w:val="1"/>
      <w:numFmt w:val="decimal"/>
      <w:lvlText w:val="%1."/>
      <w:lvlJc w:val="left"/>
      <w:pPr>
        <w:ind w:left="420" w:hanging="220"/>
      </w:pPr>
    </w:lvl>
  </w:abstractNum>
  <w:num w:numId="1">
    <w:abstractNumId w:val="0"/>
  </w:num>
  <w:num w:numId="2">
    <w:abstractNumId w:val="1"/>
  </w:num>
</w:numbering>
</file>

<file path=word/settings.xml><?xml version="1.0" encoding="utf-8"?>
<w:settings xmlns:w="http://schemas.openxmlformats.org/wordprocessingml/2006/main">
  <w:zoom w:percent="100"/>
  <w:defaultTabStop w:val="720"/>
  <w:themeFontLang w:val="en-IN"/>
  <w:compat/>
  <w:doNotTrackFormatting/>
</w:settings>
</file>

<file path=word/styles.xml><?xml version="1.0" encoding="utf-8"?>
<w:styles xmlns:w="http://schemas.openxmlformats.org/wordprocessingml/2006/main">
  <w:docDefaults>
    <w:rPrDefault>
      <w:rPr>
        <w:rFonts w:ascii="Aptos" w:hAnsi="Aptos"/>
        <w:sz w:val="22"/>
        <w:szCs w:val="22"/>
        <w:color w:val="25323A"/>
      </w:rPr>
    </w:rPrDefault>
    <w:pPrDefault>
      <w:pPr>
        <w:spacing w:after="140" w:line="276" w:lineRule="auto"/>
      </w:pPr>
    </w:pPrDefault>
  </w:docDefaults>
  <w:style w:type="paragraph" w:default="1" w:styleId="Normal">
    <w:name w:val="Normal"/>
    <w:qFormat/>
  </w:style>
  <w:style w:type="paragraph" w:styleId="Title">
    <w:name w:val="Title"/>
    <w:basedOn w:val="Normal"/>
    <w:next w:val="Subtitle"/>
    <w:qFormat/>
    <w:pPr>
      <w:jc w:val="left"/>
      <w:spacing w:before="480" w:after="180"/>
    </w:pPr>
    <w:rPr>
      <w:rFonts w:ascii="Aptos Display" w:hAnsi="Aptos Display"/>
      <w:b/>
      <w:sz w:val="48"/>
      <w:szCs w:val="48"/>
      <w:color w:val="193B4A"/>
    </w:rPr>
  </w:style>
  <w:style w:type="paragraph" w:styleId="Subtitle">
    <w:name w:val="Subtitle"/>
    <w:basedOn w:val="Normal"/>
    <w:qFormat/>
    <w:pPr>
      <w:spacing w:after="300"/>
    </w:pPr>
    <w:rPr>
      <w:sz w:val="26"/>
      <w:szCs w:val="26"/>
      <w:color w:val="8A5A2B"/>
    </w:rPr>
  </w:style>
  <w:style w:type="paragraph" w:styleId="Heading1">
    <w:name w:val="heading 1"/>
    <w:basedOn w:val="Normal"/>
    <w:next w:val="Normal"/>
    <w:qFormat/>
    <w:pPr>
      <w:keepNext/>
      <w:outlineLvl w:val="0"/>
      <w:spacing w:before="420" w:after="140"/>
    </w:pPr>
    <w:rPr>
      <w:rFonts w:ascii="Aptos Display" w:hAnsi="Aptos Display"/>
      <w:b/>
      <w:sz w:val="31"/>
      <w:szCs w:val="31"/>
      <w:color w:val="193B4A"/>
    </w:rPr>
  </w:style>
  <w:style w:type="paragraph" w:styleId="Heading2">
    <w:name w:val="heading 2"/>
    <w:basedOn w:val="Normal"/>
    <w:next w:val="Normal"/>
    <w:qFormat/>
    <w:pPr>
      <w:keepNext/>
      <w:spacing w:before="260" w:after="100"/>
    </w:pPr>
    <w:rPr>
      <w:b/>
      <w:sz w:val="25"/>
      <w:szCs w:val="25"/>
      <w:color w:val="8A5A2B"/>
    </w:rPr>
  </w:style>
  <w:style w:type="paragraph" w:styleId="Heading3">
    <w:name w:val="heading 3"/>
    <w:basedOn w:val="Normal"/>
    <w:next w:val="Normal"/>
    <w:qFormat/>
    <w:pPr>
      <w:keepNext/>
      <w:spacing w:before="180" w:after="80"/>
    </w:pPr>
    <w:rPr>
      <w:b/>
      <w:sz w:val="22"/>
      <w:szCs w:val="22"/>
      <w:color w:val="193B4A"/>
    </w:rPr>
  </w:style>
  <w:style w:type="paragraph" w:styleId="ListParagraph">
    <w:name w:val="List Paragraph"/>
    <w:basedOn w:val="Normal"/>
    <w:pPr>
      <w:ind w:left="420" w:hanging="220"/>
      <w:spacing w:after="80"/>
    </w:pPr>
  </w:style>
  <w:style w:type="paragraph" w:styleId="Note">
    <w:name w:val="ACE Note"/>
    <w:basedOn w:val="Normal"/>
    <w:pPr>
      <w:shd w:fill="F4EBDD"/>
      <w:ind w:left="180" w:right="180"/>
      <w:spacing w:before="160" w:after="180"/>
    </w:pPr>
    <w:rPr>
      <w:sz w:val="20"/>
      <w:szCs w:val="20"/>
    </w:rPr>
  </w:style>
  <w:style w:type="paragraph" w:styleId="Small">
    <w:name w:val="Small"/>
    <w:basedOn w:val="Normal"/>
    <w:pPr>
      <w:spacing w:after="70"/>
    </w:pPr>
    <w:rPr>
      <w:sz w:val="18"/>
      <w:szCs w:val="18"/>
      <w:color w:val="5A6469"/>
    </w:rPr>
  </w:style>
  <w:style w:type="paragraph" w:styleId="TableText">
    <w:name w:val="Table Text"/>
    <w:basedOn w:val="Normal"/>
    <w:pPr>
      <w:spacing w:after="50" w:line="240" w:lineRule="auto"/>
    </w:pPr>
    <w:rPr>
      <w:sz w:val="18"/>
      <w:szCs w:val="18"/>
    </w:rPr>
  </w:style>
  <w:style w:type="paragraph" w:styleId="TableHeader">
    <w:name w:val="Table Header"/>
    <w:basedOn w:val="Normal"/>
    <w:pPr>
      <w:spacing w:after="50"/>
    </w:pPr>
    <w:rPr>
      <w:b/>
      <w:sz w:val="18"/>
      <w:szCs w:val="18"/>
      <w:color w:val="FFFFFF"/>
    </w:rPr>
  </w:style>
  <w:style w:type="paragraph" w:styleId="Header">
    <w:name w:val="Header"/>
    <w:basedOn w:val="Normal"/>
    <w:pPr>
      <w:pBdr>
        <w:bottom w:val="single" w:sz="6" w:space="6" w:color="D8D1C5"/>
      </w:pBdr>
      <w:spacing w:after="80"/>
    </w:pPr>
  </w:style>
  <w:style w:type="paragraph" w:styleId="Footer">
    <w:name w:val="Footer"/>
    <w:basedOn w:val="Normal"/>
    <w:pPr>
      <w:pBdr>
        <w:top w:val="single" w:sz="6" w:space="6" w:color="D8D1C5"/>
      </w:pBdr>
      <w:jc w:val="right"/>
    </w:pPr>
  </w:style>
  <w:style w:type="table" w:styleId="GuideTable">
    <w:name w:val="ACE Guide Table"/>
    <w:basedOn w:val="TableNormal"/>
    <w:tblPr>
      <w:tblCellMar>
        <w:top w:w="110" w:type="dxa"/>
        <w:start w:w="110" w:type="dxa"/>
        <w:bottom w:w="110" w:type="dxa"/>
        <w:end w:w="110"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header" Target="header1.xml"/>
  <Relationship Id="rId5"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ACE Service Guide Generator</Application>
  <DocSecurity>0</DocSecurity>
  <ScaleCrop>false</ScaleCrop>
  <HeadingPairs/>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&amp; Commercial Building Inspection</dc:title>
  <dc:creator>Anay Consultants &amp; Engineers</dc:creator>
  <cp:lastModifiedBy>ACE Technical Desk</cp:lastModifiedBy>
  <dcterms:created xsi:type="dcterms:W3CDTF">2026-10-17T00:00:00Z</dcterms:created>
  <dcterms:modified xsi:type="dcterms:W3CDTF">2026-10-17T00:00:00Z</dcterms:modified>
</cp:coreProperties>
</file>