
<file path=[Content_Types].xml><?xml version="1.0" encoding="utf-8"?>
<Types xmlns="http://schemas.openxmlformats.org/package/2006/content-types">
  <Default Extension="rels" ContentType="application/vnd.openxml-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pStyle w:val="Small"/>
      </w:pPr>
      <w:r>
        <w:rPr>
          <w:b/>
          <w:color w:val="8A5A2B"/>
        </w:rPr>
        <w:t xml:space="preserve">ANAY CONSULTANTS &amp; ENGINEERS</w:t>
      </w:r>
      <w:r>
        <w:rPr>
          <w:color w:val="8A5A2B"/>
        </w:rPr>
        <w:t xml:space="preserve"/>
      </w:r>
    </w:p>
    <w:p>
      <w:pPr>
        <w:pStyle w:val="Small"/>
      </w:pPr>
      <w:r>
        <w:rPr>
          <w:color w:val="5A6469"/>
        </w:rPr>
        <w:t xml:space="preserve">02  |  ACE SERVICE GUIDE</w:t>
      </w:r>
    </w:p>
    <w:p>
      <w:pPr>
        <w:pStyle w:val="Title"/>
      </w:pPr>
      <w:r>
        <w:t xml:space="preserve">Inspection &amp; Certification</w:t>
      </w:r>
    </w:p>
    <w:p>
      <w:pPr>
        <w:pStyle w:val="Subtitle"/>
      </w:pPr>
      <w:r>
        <w:t xml:space="preserve">Third-party eyes on vendors, materials, fabrication and works — inspection written for the next audit and the next invoice.</w:t>
      </w:r>
    </w:p>
    <w:p>
      <w:pPr>
        <w:pStyle w:val="Small"/>
      </w:pPr>
      <w:r>
        <w:t xml:space="preserve">Prepared for service communication, technical briefing and project scoping</w:t>
      </w:r>
    </w:p>
    <w:p>
      <w:pPr>
        <w:pStyle w:val="Small"/>
      </w:pPr>
      <w:r>
        <w:t xml:space="preserve">Version 1.0  |  17 October 2026  |  Indore, Madhya Pradesh</w:t>
      </w:r>
    </w:p>
    <w:p>
      <w:pPr>
        <w:pStyle w:val="Note"/>
      </w:pPr>
      <w:r>
        <w:rPr>
          <w:b/>
          <w:color w:val="8A5A2B"/>
        </w:rPr>
        <w:t>Important: </w:t>
      </w:r>
      <w:r>
        <w:rPr>
          <w:i/>
          <w:color w:val="5A4635"/>
        </w:rPr>
        <w:t xml:space="preserve">This guide is a detailed service description, not a statutory approval, accreditation certificate, legal opinion or guarantee of project outcome. Applicable standards, permissions, accreditation scope and deliverables must be confirmed for the specific assignment.</w:t>
      </w:r>
    </w:p>
    <w:p>
      <w:pPr>
        <w:pStyle w:val="Normal"/>
      </w:pPr>
      <w:r>
        <w:br w:type="page"/>
      </w:r>
    </w:p>
    <w:p>
      <w:pPr>
        <w:pStyle w:val="Heading1"/>
        <w:keepNext/>
      </w:pPr>
      <w:r>
        <w:t xml:space="preserve">1. Service overview</w:t>
      </w:r>
    </w:p>
    <w:p>
      <w:pPr>
        <w:pStyle w:val="Normal"/>
      </w:pPr>
      <w:r>
        <w:t xml:space="preserve">Inspection creates independent evidence between purchase order and acceptance. It helps owners, EPC teams, procurement departments, PMCs and lenders see whether the material, fabrication, documentation and site condition match the agreed requirement.</w:t>
      </w:r>
    </w:p>
    <w:p>
      <w:pPr>
        <w:pStyle w:val="Normal"/>
      </w:pPr>
      <w:r>
        <w:t xml:space="preserve">The service may include vendor or mill assessment, document and certificate review, stage-wise inspection, dimensional and visual checks, welding and coating checks, test witnessing, factory acceptance, dispatch or erection inspection, NCR follow-up and dossier compilation.</w:t>
      </w:r>
    </w:p>
    <w:p>
      <w:pPr>
        <w:pStyle w:val="Normal"/>
      </w:pPr>
      <w:r>
        <w:t xml:space="preserve">Certification support is used carefully in this guide. An inspection report records the agreed evidence; it does not become a BIS licence, statutory approval, product certificate or accreditation certificate unless the appropriately authorized body issues that separate document.</w:t>
      </w:r>
    </w:p>
    <w:p>
      <w:pPr>
        <w:pStyle w:val="Heading1"/>
        <w:keepNext/>
      </w:pPr>
      <w:r>
        <w:t xml:space="preserve">2. Scope of work</w:t>
      </w:r>
    </w:p>
    <w:p>
      <w:pPr>
        <w:pStyle w:val="Normal"/>
      </w:pPr>
      <w:r>
        <w:t xml:space="preserve">Inspection starts with the purchase order, approved drawings, material specification, inspection-and-test plan, quality plan, hold points, witness points, release criteria and required records. These documents define what must be observed and what can be released.</w:t>
      </w:r>
    </w:p>
    <w:p>
      <w:pPr>
        <w:pStyle w:val="Normal"/>
      </w:pPr>
      <w:r>
        <w:t xml:space="preserve">The inspector may verify source documents, heat or batch traceability, dimensions, workmanship, fabrication stages, coating preparation, test records, packing, dispatch, erection and mechanical completion. Where a test or examination requires a qualified or recognized specialist, the scope can include witnessing or coordination rather than an unsupported sign-off.</w:t>
      </w:r>
    </w:p>
    <w:p>
      <w:pPr>
        <w:pStyle w:val="Normal"/>
      </w:pPr>
      <w:r>
        <w:t xml:space="preserve">The final record should show what was inspected, against which requirement, on what date, with what evidence, what was accepted, what remained open, and who held the responsibility for the next action.</w:t>
      </w:r>
    </w:p>
    <w:p>
      <w:pPr>
        <w:pStyle w:val="Heading1"/>
        <w:keepNext/>
      </w:pPr>
      <w:r>
        <w:t xml:space="preserve">3. Detailed service components</w:t>
      </w:r>
    </w:p>
    <w:tbl>
      <w:tblPr>
        <w:tblStyle w:val="GuideTable"/>
        <w:tblW w:w="0" w:type="auto"/>
        <w:tblBorders>
          <w:top w:val="single" w:sz="6" w:color="D8D1C5"/>
          <w:left w:val="single" w:sz="6" w:color="D8D1C5"/>
          <w:bottom w:val="single" w:sz="6" w:color="D8D1C5"/>
          <w:right w:val="single" w:sz="6" w:color="D8D1C5"/>
          <w:insideH w:val="single" w:sz="4" w:color="E6E0D7"/>
          <w:insideV w:val="single" w:sz="4" w:color="E6E0D7"/>
        </w:tblBorders>
      </w:tblPr>
      <w:tblGrid>
        <w:gridCol w:w="3000"/>
        <w:gridCol w:w="6900"/>
      </w:tblGrid>
      <w:tr>
        <w:tc>
          <w:tcPr>
            <w:tcW w:w="3000" w:type="dxa"/>
            <w:shd w:fill="193B4A"/>
          </w:tcPr>
          <w:p>
            <w:pPr>
              <w:pStyle w:val="TableHeader"/>
            </w:pPr>
            <w:r>
              <w:rPr>
                <w:color w:val="FFFFFF"/>
              </w:rPr>
              <w:t xml:space="preserve">Service component</w:t>
            </w:r>
          </w:p>
        </w:tc>
        <w:tc>
          <w:tcPr>
            <w:tcW w:w="6900" w:type="dxa"/>
            <w:shd w:fill="193B4A"/>
          </w:tcPr>
          <w:p>
            <w:pPr>
              <w:pStyle w:val="TableHeader"/>
            </w:pPr>
            <w:r>
              <w:rPr>
                <w:color w:val="FFFFFF"/>
              </w:rPr>
              <w:t xml:space="preserve">What the assignment may include</w:t>
            </w:r>
          </w:p>
        </w:tc>
      </w:tr>
      <w:tr>
        <w:tc>
          <w:tcPr>
            <w:tcW w:w="3000" w:type="dxa"/>
          </w:tcPr>
          <w:p>
            <w:pPr>
              <w:pStyle w:val="TableText"/>
            </w:pPr>
            <w:r>
              <w:rPr>
                <w:color w:val="25323A"/>
              </w:rPr>
              <w:t xml:space="preserve">Vendor and source assessment</w:t>
            </w:r>
          </w:p>
        </w:tc>
        <w:tc>
          <w:tcPr>
            <w:tcW w:w="6900" w:type="dxa"/>
          </w:tcPr>
          <w:p>
            <w:pPr>
              <w:pStyle w:val="TableText"/>
            </w:pPr>
            <w:r>
              <w:rPr>
                <w:color w:val="25323A"/>
              </w:rPr>
              <w:t xml:space="preserve">Review the supplier’s capability, approved drawings, process controls, previous records, resources, subcontracting and ability to meet the purchase specification.</w:t>
            </w:r>
          </w:p>
        </w:tc>
      </w:tr>
      <w:tr>
        <w:tc>
          <w:tcPr>
            <w:tcW w:w="3000" w:type="dxa"/>
          </w:tcPr>
          <w:p>
            <w:pPr>
              <w:pStyle w:val="TableText"/>
            </w:pPr>
            <w:r>
              <w:rPr>
                <w:color w:val="25323A"/>
              </w:rPr>
              <w:t xml:space="preserve">Material and certificate verification</w:t>
            </w:r>
          </w:p>
        </w:tc>
        <w:tc>
          <w:tcPr>
            <w:tcW w:w="6900" w:type="dxa"/>
          </w:tcPr>
          <w:p>
            <w:pPr>
              <w:pStyle w:val="TableText"/>
            </w:pPr>
            <w:r>
              <w:rPr>
                <w:color w:val="25323A"/>
              </w:rPr>
              <w:t xml:space="preserve">Check incoming materials, heat or batch identity, mill certificates, test reports, markings, quantity, preservation and traceability against the purchase order.</w:t>
            </w:r>
          </w:p>
        </w:tc>
      </w:tr>
      <w:tr>
        <w:tc>
          <w:tcPr>
            <w:tcW w:w="3000" w:type="dxa"/>
          </w:tcPr>
          <w:p>
            <w:pPr>
              <w:pStyle w:val="TableText"/>
            </w:pPr>
            <w:r>
              <w:rPr>
                <w:color w:val="25323A"/>
              </w:rPr>
              <w:t xml:space="preserve">Fabrication and dimensional inspection</w:t>
            </w:r>
          </w:p>
        </w:tc>
        <w:tc>
          <w:tcPr>
            <w:tcW w:w="6900" w:type="dxa"/>
          </w:tcPr>
          <w:p>
            <w:pPr>
              <w:pStyle w:val="TableText"/>
            </w:pPr>
            <w:r>
              <w:rPr>
                <w:color w:val="25323A"/>
              </w:rPr>
              <w:t xml:space="preserve">Inspect cutting, forming, fit-up, dimensions, workmanship, surface condition, assembly, marking and completion at agreed hold or witness points.</w:t>
            </w:r>
          </w:p>
        </w:tc>
      </w:tr>
      <w:tr>
        <w:tc>
          <w:tcPr>
            <w:tcW w:w="3000" w:type="dxa"/>
          </w:tcPr>
          <w:p>
            <w:pPr>
              <w:pStyle w:val="TableText"/>
            </w:pPr>
            <w:r>
              <w:rPr>
                <w:color w:val="25323A"/>
              </w:rPr>
              <w:t xml:space="preserve">Welding and coating checks</w:t>
            </w:r>
          </w:p>
        </w:tc>
        <w:tc>
          <w:tcPr>
            <w:tcW w:w="6900" w:type="dxa"/>
          </w:tcPr>
          <w:p>
            <w:pPr>
              <w:pStyle w:val="TableText"/>
            </w:pPr>
            <w:r>
              <w:rPr>
                <w:color w:val="25323A"/>
              </w:rPr>
              <w:t xml:space="preserve">Review applicable welding documentation and visual workmanship; witness or coordinate additional examination when required by the approved ITP and qualified personnel are available.</w:t>
            </w:r>
          </w:p>
        </w:tc>
      </w:tr>
      <w:tr>
        <w:tc>
          <w:tcPr>
            <w:tcW w:w="3000" w:type="dxa"/>
          </w:tcPr>
          <w:p>
            <w:pPr>
              <w:pStyle w:val="TableText"/>
            </w:pPr>
            <w:r>
              <w:rPr>
                <w:color w:val="25323A"/>
              </w:rPr>
              <w:t xml:space="preserve">Testing and factory acceptance</w:t>
            </w:r>
          </w:p>
        </w:tc>
        <w:tc>
          <w:tcPr>
            <w:tcW w:w="6900" w:type="dxa"/>
          </w:tcPr>
          <w:p>
            <w:pPr>
              <w:pStyle w:val="TableText"/>
            </w:pPr>
            <w:r>
              <w:rPr>
                <w:color w:val="25323A"/>
              </w:rPr>
              <w:t xml:space="preserve">Witness functional, pressure, performance or other tests where specified; compare results with the approved procedure and acceptance criteria.</w:t>
            </w:r>
          </w:p>
        </w:tc>
      </w:tr>
      <w:tr>
        <w:tc>
          <w:tcPr>
            <w:tcW w:w="3000" w:type="dxa"/>
          </w:tcPr>
          <w:p>
            <w:pPr>
              <w:pStyle w:val="TableText"/>
            </w:pPr>
            <w:r>
              <w:rPr>
                <w:color w:val="25323A"/>
              </w:rPr>
              <w:t xml:space="preserve">Dispatch, erection and completion</w:t>
            </w:r>
          </w:p>
        </w:tc>
        <w:tc>
          <w:tcPr>
            <w:tcW w:w="6900" w:type="dxa"/>
          </w:tcPr>
          <w:p>
            <w:pPr>
              <w:pStyle w:val="TableText"/>
            </w:pPr>
            <w:r>
              <w:rPr>
                <w:color w:val="25323A"/>
              </w:rPr>
              <w:t xml:space="preserve">Check packing, identification, preservation, dispatch records, site condition, installation evidence, punch points and mechanical completion records.</w:t>
            </w:r>
          </w:p>
        </w:tc>
      </w:tr>
      <w:tr>
        <w:tc>
          <w:tcPr>
            <w:tcW w:w="3000" w:type="dxa"/>
          </w:tcPr>
          <w:p>
            <w:pPr>
              <w:pStyle w:val="TableText"/>
            </w:pPr>
            <w:r>
              <w:rPr>
                <w:color w:val="25323A"/>
              </w:rPr>
              <w:t xml:space="preserve">NCR and dossier close-out</w:t>
            </w:r>
          </w:p>
        </w:tc>
        <w:tc>
          <w:tcPr>
            <w:tcW w:w="6900" w:type="dxa"/>
          </w:tcPr>
          <w:p>
            <w:pPr>
              <w:pStyle w:val="TableText"/>
            </w:pPr>
            <w:r>
              <w:rPr>
                <w:color w:val="25323A"/>
              </w:rPr>
              <w:t xml:space="preserve">Track non-conformances, concessions, waivers, corrective action, release notes, photographs, certificates and the final inspection dossier.</w:t>
            </w:r>
          </w:p>
        </w:tc>
      </w:tr>
    </w:tbl>
    <w:p>
      <w:pPr>
        <w:pStyle w:val="Heading1"/>
        <w:keepNext/>
      </w:pPr>
      <w:r>
        <w:t xml:space="preserve">4. Standards, codes and government guidance</w:t>
      </w:r>
    </w:p>
    <w:p>
      <w:pPr>
        <w:pStyle w:val="Normal"/>
      </w:pPr>
      <w:r>
        <w:t xml:space="preserve">The following references are commonly relevant to this service. The controlling edition, amendment, method, authority requirement and contract specification must be checked before issue or execution.</w:t>
      </w:r>
    </w:p>
    <w:tbl>
      <w:tblPr>
        <w:tblStyle w:val="GuideTable"/>
        <w:tblW w:w="0" w:type="auto"/>
        <w:tblBorders>
          <w:top w:val="single" w:sz="6" w:color="D8D1C5"/>
          <w:left w:val="single" w:sz="6" w:color="D8D1C5"/>
          <w:bottom w:val="single" w:sz="6" w:color="D8D1C5"/>
          <w:right w:val="single" w:sz="6" w:color="D8D1C5"/>
          <w:insideH w:val="single" w:sz="4" w:color="E6E0D7"/>
          <w:insideV w:val="single" w:sz="4" w:color="E6E0D7"/>
        </w:tblBorders>
      </w:tblPr>
      <w:tblGrid>
        <w:gridCol w:w="2600"/>
        <w:gridCol w:w="7300"/>
      </w:tblGrid>
      <w:tr>
        <w:tc>
          <w:tcPr>
            <w:tcW w:w="2600" w:type="dxa"/>
            <w:shd w:fill="193B4A"/>
          </w:tcPr>
          <w:p>
            <w:pPr>
              <w:pStyle w:val="TableHeader"/>
            </w:pPr>
            <w:r>
              <w:rPr>
                <w:color w:val="FFFFFF"/>
              </w:rPr>
              <w:t xml:space="preserve">Reference area</w:t>
            </w:r>
          </w:p>
        </w:tc>
        <w:tc>
          <w:tcPr>
            <w:tcW w:w="7300" w:type="dxa"/>
            <w:shd w:fill="193B4A"/>
          </w:tcPr>
          <w:p>
            <w:pPr>
              <w:pStyle w:val="TableHeader"/>
            </w:pPr>
            <w:r>
              <w:rPr>
                <w:color w:val="FFFFFF"/>
              </w:rPr>
              <w:t xml:space="preserve">Applicable references and use</w:t>
            </w:r>
          </w:p>
        </w:tc>
      </w:tr>
      <w:tr>
        <w:tc>
          <w:tcPr>
            <w:tcW w:w="2600" w:type="dxa"/>
          </w:tcPr>
          <w:p>
            <w:pPr>
              <w:pStyle w:val="TableText"/>
            </w:pPr>
            <w:r>
              <w:rPr>
                <w:color w:val="25323A"/>
              </w:rPr>
              <w:t xml:space="preserve">Controlling project documents</w:t>
            </w:r>
          </w:p>
        </w:tc>
        <w:tc>
          <w:tcPr>
            <w:tcW w:w="7300" w:type="dxa"/>
          </w:tcPr>
          <w:p>
            <w:pPr>
              <w:pStyle w:val="TableText"/>
            </w:pPr>
            <w:r>
              <w:rPr>
                <w:color w:val="25323A"/>
              </w:rPr>
              <w:t xml:space="preserve">Approved purchase order, drawings, specifications, ITP, QAP, method statements, acceptance criteria, approved deviations and client release requirements.</w:t>
            </w:r>
          </w:p>
        </w:tc>
      </w:tr>
      <w:tr>
        <w:tc>
          <w:tcPr>
            <w:tcW w:w="2600" w:type="dxa"/>
          </w:tcPr>
          <w:p>
            <w:pPr>
              <w:pStyle w:val="TableText"/>
            </w:pPr>
            <w:r>
              <w:rPr>
                <w:color w:val="25323A"/>
              </w:rPr>
              <w:t xml:space="preserve">Structural steel and welding</w:t>
            </w:r>
          </w:p>
        </w:tc>
        <w:tc>
          <w:tcPr>
            <w:tcW w:w="7300" w:type="dxa"/>
          </w:tcPr>
          <w:p>
            <w:pPr>
              <w:pStyle w:val="TableText"/>
            </w:pPr>
            <w:r>
              <w:rPr>
                <w:color w:val="25323A"/>
              </w:rPr>
              <w:t xml:space="preserve">IS 2062, IS 800, IS 816, IS 9595 and related welding or structural-steel requirements where adopted by the project.</w:t>
            </w:r>
          </w:p>
        </w:tc>
      </w:tr>
      <w:tr>
        <w:tc>
          <w:tcPr>
            <w:tcW w:w="2600" w:type="dxa"/>
          </w:tcPr>
          <w:p>
            <w:pPr>
              <w:pStyle w:val="TableText"/>
            </w:pPr>
            <w:r>
              <w:rPr>
                <w:color w:val="25323A"/>
              </w:rPr>
              <w:t xml:space="preserve">Reinforcement and civil products</w:t>
            </w:r>
          </w:p>
        </w:tc>
        <w:tc>
          <w:tcPr>
            <w:tcW w:w="7300" w:type="dxa"/>
          </w:tcPr>
          <w:p>
            <w:pPr>
              <w:pStyle w:val="TableText"/>
            </w:pPr>
            <w:r>
              <w:rPr>
                <w:color w:val="25323A"/>
              </w:rPr>
              <w:t xml:space="preserve">IS 1786, applicable concrete, reinforcement, coating, masonry, mechanical or civil-product specifications and project sampling requirements.</w:t>
            </w:r>
          </w:p>
        </w:tc>
      </w:tr>
      <w:tr>
        <w:tc>
          <w:tcPr>
            <w:tcW w:w="2600" w:type="dxa"/>
          </w:tcPr>
          <w:p>
            <w:pPr>
              <w:pStyle w:val="TableText"/>
            </w:pPr>
            <w:r>
              <w:rPr>
                <w:color w:val="25323A"/>
              </w:rPr>
              <w:t xml:space="preserve">Management and fabrication systems</w:t>
            </w:r>
          </w:p>
        </w:tc>
        <w:tc>
          <w:tcPr>
            <w:tcW w:w="7300" w:type="dxa"/>
          </w:tcPr>
          <w:p>
            <w:pPr>
              <w:pStyle w:val="TableText"/>
            </w:pPr>
            <w:r>
              <w:rPr>
                <w:color w:val="25323A"/>
              </w:rPr>
              <w:t xml:space="preserve">ISO 9001, ISO 3834 or other management and fabrication references only when the contract or purchaser explicitly adopts them.</w:t>
            </w:r>
          </w:p>
        </w:tc>
      </w:tr>
      <w:tr>
        <w:tc>
          <w:tcPr>
            <w:tcW w:w="2600" w:type="dxa"/>
          </w:tcPr>
          <w:p>
            <w:pPr>
              <w:pStyle w:val="TableText"/>
            </w:pPr>
            <w:r>
              <w:rPr>
                <w:color w:val="25323A"/>
              </w:rPr>
              <w:t xml:space="preserve">Coating and corrosion protection</w:t>
            </w:r>
          </w:p>
        </w:tc>
        <w:tc>
          <w:tcPr>
            <w:tcW w:w="7300" w:type="dxa"/>
          </w:tcPr>
          <w:p>
            <w:pPr>
              <w:pStyle w:val="TableText"/>
            </w:pPr>
            <w:r>
              <w:rPr>
                <w:color w:val="25323A"/>
              </w:rPr>
              <w:t xml:space="preserve">ISO 12944, SSPC or other coating references only where stated in the project specification; surface preparation and DFT criteria remain assignment-specific.</w:t>
            </w:r>
          </w:p>
        </w:tc>
      </w:tr>
      <w:tr>
        <w:tc>
          <w:tcPr>
            <w:tcW w:w="2600" w:type="dxa"/>
          </w:tcPr>
          <w:p>
            <w:pPr>
              <w:pStyle w:val="TableText"/>
            </w:pPr>
            <w:r>
              <w:rPr>
                <w:color w:val="25323A"/>
              </w:rPr>
              <w:t xml:space="preserve">Qualified and recognized testing</w:t>
            </w:r>
          </w:p>
        </w:tc>
        <w:tc>
          <w:tcPr>
            <w:tcW w:w="7300" w:type="dxa"/>
          </w:tcPr>
          <w:p>
            <w:pPr>
              <w:pStyle w:val="TableText"/>
            </w:pPr>
            <w:r>
              <w:rPr>
                <w:color w:val="25323A"/>
              </w:rPr>
              <w:t xml:space="preserve">NDT, product certification, statutory release and accredited testing must be performed or signed by the qualified, recognized, notified or accredited party required for the assignment.</w:t>
            </w:r>
          </w:p>
        </w:tc>
      </w:tr>
    </w:tbl>
    <w:p>
      <w:pPr>
        <w:pStyle w:val="Heading1"/>
        <w:keepNext/>
      </w:pPr>
      <w:r>
        <w:t xml:space="preserve">5. Target clients and project types</w:t>
      </w:r>
    </w:p>
    <w:p>
      <w:pPr>
        <w:pStyle w:val="Normal"/>
      </w:pPr>
      <w:r>
        <w:t xml:space="preserve">This service is suited to the following client groups and project situations, subject to the agreed scope and procurement route:</w:t>
      </w:r>
    </w:p>
    <w:p>
      <w:pPr>
        <w:pStyle w:val="ListParagraph"/>
        <w:numPr>
          <w:ilvl w:val="0"/>
          <w:numId w:val="1"/>
        </w:numPr>
      </w:pPr>
      <w:r>
        <w:t xml:space="preserve">Asset owners and public-sector procurement teams.</w:t>
      </w:r>
    </w:p>
    <w:p>
      <w:pPr>
        <w:pStyle w:val="ListParagraph"/>
        <w:numPr>
          <w:ilvl w:val="0"/>
          <w:numId w:val="1"/>
        </w:numPr>
      </w:pPr>
      <w:r>
        <w:t xml:space="preserve">EPC contractors, package vendors, fabricators and equipment manufacturers.</w:t>
      </w:r>
    </w:p>
    <w:p>
      <w:pPr>
        <w:pStyle w:val="ListParagraph"/>
        <w:numPr>
          <w:ilvl w:val="0"/>
          <w:numId w:val="1"/>
        </w:numPr>
      </w:pPr>
      <w:r>
        <w:t xml:space="preserve">PMCs, owner’s engineers, lender’s engineers and commissioning teams.</w:t>
      </w:r>
    </w:p>
    <w:p>
      <w:pPr>
        <w:pStyle w:val="ListParagraph"/>
        <w:numPr>
          <w:ilvl w:val="0"/>
          <w:numId w:val="1"/>
        </w:numPr>
      </w:pPr>
      <w:r>
        <w:t xml:space="preserve">Manufacturing, energy, infrastructure, process-plant and industrial-fabrication projects.</w:t>
      </w:r>
    </w:p>
    <w:p>
      <w:pPr>
        <w:pStyle w:val="ListParagraph"/>
        <w:numPr>
          <w:ilvl w:val="0"/>
          <w:numId w:val="1"/>
        </w:numPr>
      </w:pPr>
      <w:r>
        <w:t xml:space="preserve">Procurement teams requiring source, mill, factory or pre-dispatch verification.</w:t>
      </w:r>
    </w:p>
    <w:p>
      <w:pPr>
        <w:pStyle w:val="ListParagraph"/>
        <w:numPr>
          <w:ilvl w:val="0"/>
          <w:numId w:val="1"/>
        </w:numPr>
      </w:pPr>
      <w:r>
        <w:t xml:space="preserve">Owners managing imported, long-lead, safety-critical or high-value equipment.</w:t>
      </w:r>
    </w:p>
    <w:p>
      <w:pPr>
        <w:pStyle w:val="Heading1"/>
        <w:keepNext/>
      </w:pPr>
      <w:r>
        <w:t xml:space="preserve">6. Delivery workflow</w:t>
      </w:r>
    </w:p>
    <w:p>
      <w:pPr>
        <w:pStyle w:val="Normal"/>
      </w:pPr>
      <w:r>
        <w:t xml:space="preserve">A clear brief and traceable records reduce rework. A typical engagement follows these steps:</w:t>
      </w:r>
    </w:p>
    <w:p>
      <w:pPr>
        <w:pStyle w:val="ListParagraph"/>
        <w:numPr>
          <w:ilvl w:val="0"/>
          <w:numId w:val="2"/>
        </w:numPr>
      </w:pPr>
      <w:r>
        <w:t xml:space="preserve">Collect the purchase order, specification, approved drawings, ITP/QAP, schedule, release criteria and required reporting format.</w:t>
      </w:r>
    </w:p>
    <w:p>
      <w:pPr>
        <w:pStyle w:val="ListParagraph"/>
        <w:numPr>
          <w:ilvl w:val="0"/>
          <w:numId w:val="2"/>
        </w:numPr>
      </w:pPr>
      <w:r>
        <w:t xml:space="preserve">Agree the inspection plan, hold points, witness points, notice period, access, safety requirements and evidence checklist.</w:t>
      </w:r>
    </w:p>
    <w:p>
      <w:pPr>
        <w:pStyle w:val="ListParagraph"/>
        <w:numPr>
          <w:ilvl w:val="0"/>
          <w:numId w:val="2"/>
        </w:numPr>
      </w:pPr>
      <w:r>
        <w:t xml:space="preserve">Review supplier documents and material traceability before or during the agreed fabrication stage.</w:t>
      </w:r>
    </w:p>
    <w:p>
      <w:pPr>
        <w:pStyle w:val="ListParagraph"/>
        <w:numPr>
          <w:ilvl w:val="0"/>
          <w:numId w:val="2"/>
        </w:numPr>
      </w:pPr>
      <w:r>
        <w:t xml:space="preserve">Witness or perform the agreed checks, tests and inspections, recording objective evidence and open points.</w:t>
      </w:r>
    </w:p>
    <w:p>
      <w:pPr>
        <w:pStyle w:val="ListParagraph"/>
        <w:numPr>
          <w:ilvl w:val="0"/>
          <w:numId w:val="2"/>
        </w:numPr>
      </w:pPr>
      <w:r>
        <w:t xml:space="preserve">Issue the inspection report, NCR or release note with clear status and supporting photographs or records.</w:t>
      </w:r>
    </w:p>
    <w:p>
      <w:pPr>
        <w:pStyle w:val="ListParagraph"/>
        <w:numPr>
          <w:ilvl w:val="0"/>
          <w:numId w:val="2"/>
        </w:numPr>
      </w:pPr>
      <w:r>
        <w:t xml:space="preserve">Track corrective action, concessions, retests and client decisions until the package is closed or formally accepted with reservations.</w:t>
      </w:r>
    </w:p>
    <w:p>
      <w:pPr>
        <w:pStyle w:val="ListParagraph"/>
        <w:numPr>
          <w:ilvl w:val="0"/>
          <w:numId w:val="2"/>
        </w:numPr>
      </w:pPr>
      <w:r>
        <w:t xml:space="preserve">Compile the final dossier for dispatch, payment, commissioning, handover or audit review.</w:t>
      </w:r>
    </w:p>
    <w:p>
      <w:pPr>
        <w:pStyle w:val="Heading1"/>
        <w:keepNext/>
      </w:pPr>
      <w:r>
        <w:t xml:space="preserve">7. Typical deliverables</w:t>
      </w:r>
    </w:p>
    <w:p>
      <w:pPr>
        <w:pStyle w:val="ListParagraph"/>
        <w:numPr>
          <w:ilvl w:val="0"/>
          <w:numId w:val="1"/>
        </w:numPr>
      </w:pPr>
      <w:r>
        <w:t xml:space="preserve">Inspection and release plans or inspection test plan review notes.</w:t>
      </w:r>
    </w:p>
    <w:p>
      <w:pPr>
        <w:pStyle w:val="ListParagraph"/>
        <w:numPr>
          <w:ilvl w:val="0"/>
          <w:numId w:val="1"/>
        </w:numPr>
      </w:pPr>
      <w:r>
        <w:t xml:space="preserve">Vendor, mill and source assessment reports.</w:t>
      </w:r>
    </w:p>
    <w:p>
      <w:pPr>
        <w:pStyle w:val="ListParagraph"/>
        <w:numPr>
          <w:ilvl w:val="0"/>
          <w:numId w:val="1"/>
        </w:numPr>
      </w:pPr>
      <w:r>
        <w:t xml:space="preserve">Material certificate, heat-number and document-traceability review records.</w:t>
      </w:r>
    </w:p>
    <w:p>
      <w:pPr>
        <w:pStyle w:val="ListParagraph"/>
        <w:numPr>
          <w:ilvl w:val="0"/>
          <w:numId w:val="1"/>
        </w:numPr>
      </w:pPr>
      <w:r>
        <w:t xml:space="preserve">Stage-wise fabrication, welding, coating, dimensional and test-witness reports.</w:t>
      </w:r>
    </w:p>
    <w:p>
      <w:pPr>
        <w:pStyle w:val="ListParagraph"/>
        <w:numPr>
          <w:ilvl w:val="0"/>
          <w:numId w:val="1"/>
        </w:numPr>
      </w:pPr>
      <w:r>
        <w:t xml:space="preserve">NCR, punch-list, corrective-action, concession and waiver trackers.</w:t>
      </w:r>
    </w:p>
    <w:p>
      <w:pPr>
        <w:pStyle w:val="ListParagraph"/>
        <w:numPr>
          <w:ilvl w:val="0"/>
          <w:numId w:val="1"/>
        </w:numPr>
      </w:pPr>
      <w:r>
        <w:t xml:space="preserve">Factory acceptance, dispatch, erection or mechanical-completion records.</w:t>
      </w:r>
    </w:p>
    <w:p>
      <w:pPr>
        <w:pStyle w:val="ListParagraph"/>
        <w:numPr>
          <w:ilvl w:val="0"/>
          <w:numId w:val="1"/>
        </w:numPr>
      </w:pPr>
      <w:r>
        <w:t xml:space="preserve">Final inspection, certification-support and handover dossier.</w:t>
      </w:r>
    </w:p>
    <w:p>
      <w:pPr>
        <w:pStyle w:val="Heading1"/>
        <w:keepNext/>
      </w:pPr>
      <w:r>
        <w:t xml:space="preserve">8. Benefits and decision value</w:t>
      </w:r>
    </w:p>
    <w:p>
      <w:pPr>
        <w:pStyle w:val="ListParagraph"/>
        <w:numPr>
          <w:ilvl w:val="0"/>
          <w:numId w:val="1"/>
        </w:numPr>
      </w:pPr>
      <w:r>
        <w:t xml:space="preserve">Earlier visibility of supplier, fabrication and documentation gaps.</w:t>
      </w:r>
    </w:p>
    <w:p>
      <w:pPr>
        <w:pStyle w:val="ListParagraph"/>
        <w:numPr>
          <w:ilvl w:val="0"/>
          <w:numId w:val="1"/>
        </w:numPr>
      </w:pPr>
      <w:r>
        <w:t xml:space="preserve">A traceable basis for release, dispatch, payment, commissioning and handover decisions.</w:t>
      </w:r>
    </w:p>
    <w:p>
      <w:pPr>
        <w:pStyle w:val="ListParagraph"/>
        <w:numPr>
          <w:ilvl w:val="0"/>
          <w:numId w:val="1"/>
        </w:numPr>
      </w:pPr>
      <w:r>
        <w:t xml:space="preserve">Reduced risk of discovering material or workmanship problems after installation.</w:t>
      </w:r>
    </w:p>
    <w:p>
      <w:pPr>
        <w:pStyle w:val="ListParagraph"/>
        <w:numPr>
          <w:ilvl w:val="0"/>
          <w:numId w:val="1"/>
        </w:numPr>
      </w:pPr>
      <w:r>
        <w:t xml:space="preserve">Clear separation between the party executing the work and the party recording independent evidence.</w:t>
      </w:r>
    </w:p>
    <w:p>
      <w:pPr>
        <w:pStyle w:val="ListParagraph"/>
        <w:numPr>
          <w:ilvl w:val="0"/>
          <w:numId w:val="1"/>
        </w:numPr>
      </w:pPr>
      <w:r>
        <w:t xml:space="preserve">Better organization of certificates, photographs, waivers, NCRs and close-out records.</w:t>
      </w:r>
    </w:p>
    <w:p>
      <w:pPr>
        <w:pStyle w:val="ListParagraph"/>
        <w:numPr>
          <w:ilvl w:val="0"/>
          <w:numId w:val="1"/>
        </w:numPr>
      </w:pPr>
      <w:r>
        <w:t xml:space="preserve">A report format that can be understood by the owner, PMC, lender, auditor and next-stage contractor.</w:t>
      </w:r>
    </w:p>
    <w:p>
      <w:pPr>
        <w:pStyle w:val="Heading1"/>
        <w:keepNext/>
      </w:pPr>
      <w:r>
        <w:t xml:space="preserve">9. Responsibilities and claim boundaries</w:t>
      </w:r>
    </w:p>
    <w:p>
      <w:pPr>
        <w:pStyle w:val="ListParagraph"/>
        <w:numPr>
          <w:ilvl w:val="0"/>
          <w:numId w:val="1"/>
        </w:numPr>
      </w:pPr>
      <w:r>
        <w:t xml:space="preserve">Inspection is performed against the agreed documents and sampling plan; it is not an unlimited guarantee that every hidden condition or future failure has been detected.</w:t>
      </w:r>
    </w:p>
    <w:p>
      <w:pPr>
        <w:pStyle w:val="ListParagraph"/>
        <w:numPr>
          <w:ilvl w:val="0"/>
          <w:numId w:val="1"/>
        </w:numPr>
      </w:pPr>
      <w:r>
        <w:t xml:space="preserve">A third-party inspection report is not automatically a statutory certificate, BIS licence, product certification or accreditation statement.</w:t>
      </w:r>
    </w:p>
    <w:p>
      <w:pPr>
        <w:pStyle w:val="ListParagraph"/>
        <w:numPr>
          <w:ilvl w:val="0"/>
          <w:numId w:val="1"/>
        </w:numPr>
      </w:pPr>
      <w:r>
        <w:t xml:space="preserve">NDT, pressure tests, statutory release and specialist certification require the qualified or recognized person or body specified by the project.</w:t>
      </w:r>
    </w:p>
    <w:p>
      <w:pPr>
        <w:pStyle w:val="ListParagraph"/>
        <w:numPr>
          <w:ilvl w:val="0"/>
          <w:numId w:val="1"/>
        </w:numPr>
      </w:pPr>
      <w:r>
        <w:t xml:space="preserve">The client remains responsible for approving specifications, accepting deviations and making contractual release decisions unless the appointment states otherwise.</w:t>
      </w:r>
    </w:p>
    <w:p>
      <w:pPr>
        <w:pStyle w:val="ListParagraph"/>
        <w:numPr>
          <w:ilvl w:val="0"/>
          <w:numId w:val="1"/>
        </w:numPr>
      </w:pPr>
      <w:r>
        <w:t xml:space="preserve">Inspection access, notice periods, safety controls, witness attendance and evidence requirements must be agreed before fabrication or dispatch.</w:t>
      </w:r>
    </w:p>
    <w:p>
      <w:pPr>
        <w:pStyle w:val="Heading1"/>
        <w:keepNext/>
      </w:pPr>
      <w:r>
        <w:t xml:space="preserve">10. Frequently asked questions</w:t>
      </w:r>
    </w:p>
    <w:p>
      <w:pPr>
        <w:pStyle w:val="Heading3"/>
        <w:keepNext/>
      </w:pPr>
      <w:r>
        <w:t xml:space="preserve">When should third-party inspection be appointed?</w:t>
      </w:r>
    </w:p>
    <w:p>
      <w:pPr>
        <w:pStyle w:val="Normal"/>
      </w:pPr>
      <w:r>
        <w:t xml:space="preserve">Appoint the inspection team before the purchase order or fabrication schedule is fixed so that hold points, witness points, documents and release criteria are agreed before work starts.</w:t>
      </w:r>
    </w:p>
    <w:p>
      <w:pPr>
        <w:pStyle w:val="Heading3"/>
        <w:keepNext/>
      </w:pPr>
      <w:r>
        <w:t xml:space="preserve">What does an inspection dossier normally contain?</w:t>
      </w:r>
    </w:p>
    <w:p>
      <w:pPr>
        <w:pStyle w:val="Normal"/>
      </w:pPr>
      <w:r>
        <w:t xml:space="preserve">Depending on the assignment, it can include approved drawings, certificates, inspection reports, photographs, non-conformance records, test results, waivers and final release documentation.</w:t>
      </w:r>
    </w:p>
    <w:p>
      <w:pPr>
        <w:pStyle w:val="Heading3"/>
        <w:keepNext/>
      </w:pPr>
      <w:r>
        <w:t xml:space="preserve">Can an inspection report replace a statutory certificate?</w:t>
      </w:r>
    </w:p>
    <w:p>
      <w:pPr>
        <w:pStyle w:val="Normal"/>
      </w:pPr>
      <w:r>
        <w:t xml:space="preserve">No. The report records the agreed inspection evidence. Any statutory, product or conformity certificate must come from the authority, notified body, accredited laboratory or qualified signatory required for that product and project.</w:t>
      </w:r>
    </w:p>
    <w:p>
      <w:pPr>
        <w:pStyle w:val="Heading3"/>
        <w:keepNext/>
      </w:pPr>
      <w:r>
        <w:t xml:space="preserve">Can ACE inspect work after it has already been completed?</w:t>
      </w:r>
    </w:p>
    <w:p>
      <w:pPr>
        <w:pStyle w:val="Normal"/>
      </w:pPr>
      <w:r>
        <w:t xml:space="preserve">A retrospective review can be scoped, but it cannot recreate a missed hold point. The report should identify what was directly witnessed, what was document-reviewed and what remains unverified.</w:t>
      </w:r>
    </w:p>
    <w:p>
      <w:pPr>
        <w:pStyle w:val="Heading1"/>
        <w:keepNext/>
      </w:pPr>
      <w:r>
        <w:t xml:space="preserve">11. Suggested copyright-free image direction</w:t>
      </w:r>
    </w:p>
    <w:p>
      <w:pPr>
        <w:pStyle w:val="Normal"/>
      </w:pPr>
      <w:r>
        <w:t xml:space="preserve">Use original photography or verify the individual licence before publishing. Unsplash and Pexels are useful search sources, but the licence of the exact asset should still be checked.</w:t>
      </w:r>
    </w:p>
    <w:tbl>
      <w:tblPr>
        <w:tblStyle w:val="GuideTable"/>
        <w:tblW w:w="0" w:type="auto"/>
        <w:tblBorders>
          <w:top w:val="single" w:sz="6" w:color="D8D1C5"/>
          <w:left w:val="single" w:sz="6" w:color="D8D1C5"/>
          <w:bottom w:val="single" w:sz="6" w:color="D8D1C5"/>
          <w:right w:val="single" w:sz="6" w:color="D8D1C5"/>
          <w:insideH w:val="single" w:sz="4" w:color="E6E0D7"/>
          <w:insideV w:val="single" w:sz="4" w:color="E6E0D7"/>
        </w:tblBorders>
      </w:tblPr>
      <w:tblGrid>
        <w:gridCol w:w="2900"/>
        <w:gridCol w:w="7000"/>
      </w:tblGrid>
      <w:tr>
        <w:tc>
          <w:tcPr>
            <w:tcW w:w="2900" w:type="dxa"/>
            <w:shd w:fill="193B4A"/>
          </w:tcPr>
          <w:p>
            <w:pPr>
              <w:pStyle w:val="TableHeader"/>
            </w:pPr>
            <w:r>
              <w:rPr>
                <w:color w:val="FFFFFF"/>
              </w:rPr>
              <w:t xml:space="preserve">Image subject</w:t>
            </w:r>
          </w:p>
        </w:tc>
        <w:tc>
          <w:tcPr>
            <w:tcW w:w="7000" w:type="dxa"/>
            <w:shd w:fill="193B4A"/>
          </w:tcPr>
          <w:p>
            <w:pPr>
              <w:pStyle w:val="TableHeader"/>
            </w:pPr>
            <w:r>
              <w:rPr>
                <w:color w:val="FFFFFF"/>
              </w:rPr>
              <w:t xml:space="preserve">Description and search keywords</w:t>
            </w:r>
          </w:p>
        </w:tc>
      </w:tr>
      <w:tr>
        <w:tc>
          <w:tcPr>
            <w:tcW w:w="2900" w:type="dxa"/>
          </w:tcPr>
          <w:p>
            <w:pPr>
              <w:pStyle w:val="TableText"/>
            </w:pPr>
            <w:r>
              <w:rPr>
                <w:color w:val="25323A"/>
              </w:rPr>
              <w:t xml:space="preserve">Fabrication inspection at an Indian workshop</w:t>
            </w:r>
          </w:p>
        </w:tc>
        <w:tc>
          <w:tcPr>
            <w:tcW w:w="7000" w:type="dxa"/>
          </w:tcPr>
          <w:p>
            <w:pPr>
              <w:pStyle w:val="TableText"/>
            </w:pPr>
            <w:r>
              <w:rPr>
                <w:color w:val="25323A"/>
              </w:rPr>
              <w:t xml:space="preserve">An inspector checking a fabricated steel component against a drawing with a calibrated measuring tool, with traceable tags visible but no readable private documents. Search keywords: third party inspection steel fabrication India engineer measuring</w:t>
            </w:r>
          </w:p>
        </w:tc>
      </w:tr>
      <w:tr>
        <w:tc>
          <w:tcPr>
            <w:tcW w:w="2900" w:type="dxa"/>
          </w:tcPr>
          <w:p>
            <w:pPr>
              <w:pStyle w:val="TableText"/>
            </w:pPr>
            <w:r>
              <w:rPr>
                <w:color w:val="25323A"/>
              </w:rPr>
              <w:t xml:space="preserve">Weld and coating quality check</w:t>
            </w:r>
          </w:p>
        </w:tc>
        <w:tc>
          <w:tcPr>
            <w:tcW w:w="7000" w:type="dxa"/>
          </w:tcPr>
          <w:p>
            <w:pPr>
              <w:pStyle w:val="TableText"/>
            </w:pPr>
            <w:r>
              <w:rPr>
                <w:color w:val="25323A"/>
              </w:rPr>
              <w:t xml:space="preserve">Close-up of an inspector using a weld gauge or coating-thickness meter on industrial fabrication; show PPE and a real workshop setting. Search keywords: weld inspection coating thickness gauge industrial quality control India</w:t>
            </w:r>
          </w:p>
        </w:tc>
      </w:tr>
    </w:tbl>
    <w:p>
      <w:pPr>
        <w:pStyle w:val="Heading1"/>
        <w:keepNext/>
      </w:pPr>
      <w:r>
        <w:t xml:space="preserve">12. Official source register</w:t>
      </w:r>
    </w:p>
    <w:p>
      <w:pPr>
        <w:pStyle w:val="Normal"/>
      </w:pPr>
      <w:r>
        <w:t xml:space="preserve">The source families below should be checked against the latest official publication, notification or portal before using this guide for a tender, regulatory submission or contractual commitment.</w:t>
      </w:r>
    </w:p>
    <w:p>
      <w:pPr>
        <w:pStyle w:val="Small"/>
      </w:pPr>
      <w:r>
        <w:t xml:space="preserve">Bureau of Indian Standards: https://www.bis.gov.in/</w:t>
      </w:r>
    </w:p>
    <w:p>
      <w:pPr>
        <w:pStyle w:val="Small"/>
      </w:pPr>
      <w:r>
        <w:t xml:space="preserve">Indian Roads Congress: https://irc.nic.in/</w:t>
      </w:r>
    </w:p>
    <w:p>
      <w:pPr>
        <w:pStyle w:val="Small"/>
      </w:pPr>
      <w:r>
        <w:t xml:space="preserve">Ministry of Road Transport and Highways: https://morth.nic.in/</w:t>
      </w:r>
    </w:p>
    <w:p>
      <w:pPr>
        <w:pStyle w:val="Small"/>
      </w:pPr>
      <w:r>
        <w:t xml:space="preserve">NABL: https://nabl-india.org/</w:t>
      </w:r>
    </w:p>
    <w:p>
      <w:pPr>
        <w:pStyle w:val="Small"/>
      </w:pPr>
      <w:r>
        <w:t xml:space="preserve">International Organization for Standardization: https://www.iso.org/standards.html</w:t>
      </w:r>
    </w:p>
    <w:p>
      <w:pPr>
        <w:pStyle w:val="Heading1"/>
        <w:keepNext/>
      </w:pPr>
      <w:r>
        <w:t xml:space="preserve">13. Conclusion</w:t>
      </w:r>
    </w:p>
    <w:p>
      <w:pPr>
        <w:pStyle w:val="Normal"/>
      </w:pPr>
      <w:r>
        <w:t xml:space="preserve">Inspection is most valuable before a package becomes difficult to recover. A clear ITP, trained inspector, traceable evidence and disciplined close-out protect the owner’s next decision.</w:t>
      </w:r>
    </w:p>
    <w:p>
      <w:pPr>
        <w:pStyle w:val="Normal"/>
      </w:pPr>
      <w:r>
        <w:t xml:space="preserve">Before appointment, the client should confirm the equipment or material, inspection stages, required qualifications, test methods, reporting format, release authority and the records needed for final handover.</w:t>
      </w:r>
    </w:p>
    <w:sectPr>
      <w:headerReference xmlns:r="http://schemas.openxmlformats.org/officeDocument/2006/relationships" w:type="default" r:id="rId4"/>
      <w:footerReference xmlns:r="http://schemas.openxmlformats.org/officeDocument/2006/relationships" w:type="default" r:id="rId5"/>
      <w:pgSz w:w="11906" w:h="16838"/>
      <w:pgMar w:top="1080" w:right="1080" w:bottom="1080" w:left="1080" w:header="540" w:footer="540" w:gutter="0"/>
      <w:cols w:space="720"/>
      <w:docGrid w:linePitch="360"/>
    </w:sectPr>
  </w:body>
</w:document>
</file>

<file path=word/footer1.xml><?xml version="1.0" encoding="utf-8"?>
<w:ftr xmlns:w="http://schemas.openxmlformats.org/wordprocessingml/2006/main" xmlns:r="http://schemas.openxmlformats.org/officeDocument/2006/relationships">
  <w:p>
    <w:pPr>
      <w:pStyle w:val="Footer"/>
    </w:pPr>
    <w:r>
      <w:rPr>
        <w:color w:val="6B7478"/>
        <w:sz w:val="16"/>
        <w:szCs w:val="16"/>
      </w:rPr>
      <w:t xml:space="preserve">ACE  |  Detailed service guide  |  </w:t>
    </w:r>
    <w:fldSimple w:instr="PAGE">
      <w:r>
        <w:rPr>
          <w:color w:val="6B7478"/>
          <w:sz w:val="16"/>
        </w:rPr>
      </w:r>
    </w:fldSimple>
  </w:p>
</w:ftr>
</file>

<file path=word/header1.xml><?xml version="1.0" encoding="utf-8"?>
<w:hdr xmlns:w="http://schemas.openxmlformats.org/wordprocessingml/2006/main">
  <w:p>
    <w:pPr>
      <w:pStyle w:val="Header"/>
    </w:pPr>
    <w:r>
      <w:rPr>
        <w:b/>
        <w:color w:val="193B4A"/>
        <w:sz w:val="18"/>
        <w:szCs w:val="18"/>
      </w:rPr>
      <w:t xml:space="preserve">ACE  |  Anay Consultants &amp; Engineers</w:t>
    </w:r>
    <w:r>
      <w:rPr>
        <w:color w:val="8A5A2B"/>
        <w:sz w:val="16"/>
        <w:szCs w:val="16"/>
      </w:rPr>
      <w:t xml:space="preserve">  •  Engineering Data You Can Build On.</w:t>
    </w: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420" w:hanging="220"/>
      </w:pPr>
      <w:rPr>
        <w:rFonts w:ascii="Arial" w:hAnsi="Arial"/>
      </w:rPr>
    </w:lvl>
  </w:abstractNum>
  <w:abstractNum w:abstractNumId="1">
    <w:multiLevelType w:val="singleLevel"/>
    <w:lvl w:ilvl="0">
      <w:start w:val="1"/>
      <w:numFmt w:val="decimal"/>
      <w:lvlText w:val="%1."/>
      <w:lvlJc w:val="left"/>
      <w:pPr>
        <w:ind w:left="420" w:hanging="220"/>
      </w:pPr>
    </w:lvl>
  </w:abstractNum>
  <w:num w:numId="1">
    <w:abstractNumId w:val="0"/>
  </w:num>
  <w:num w:numId="2">
    <w:abstractNumId w:val="1"/>
  </w:num>
</w:numbering>
</file>

<file path=word/settings.xml><?xml version="1.0" encoding="utf-8"?>
<w:settings xmlns:w="http://schemas.openxmlformats.org/wordprocessingml/2006/main">
  <w:zoom w:percent="100"/>
  <w:defaultTabStop w:val="720"/>
  <w:themeFontLang w:val="en-IN"/>
  <w:compat/>
  <w:doNotTrackFormatting/>
</w:settings>
</file>

<file path=word/styles.xml><?xml version="1.0" encoding="utf-8"?>
<w:styles xmlns:w="http://schemas.openxmlformats.org/wordprocessingml/2006/main">
  <w:docDefaults>
    <w:rPrDefault>
      <w:rPr>
        <w:rFonts w:ascii="Aptos" w:hAnsi="Aptos"/>
        <w:sz w:val="22"/>
        <w:szCs w:val="22"/>
        <w:color w:val="25323A"/>
      </w:rPr>
    </w:rPrDefault>
    <w:pPrDefault>
      <w:pPr>
        <w:spacing w:after="140" w:line="276" w:lineRule="auto"/>
      </w:pPr>
    </w:pPrDefault>
  </w:docDefaults>
  <w:style w:type="paragraph" w:default="1" w:styleId="Normal">
    <w:name w:val="Normal"/>
    <w:qFormat/>
  </w:style>
  <w:style w:type="paragraph" w:styleId="Title">
    <w:name w:val="Title"/>
    <w:basedOn w:val="Normal"/>
    <w:next w:val="Subtitle"/>
    <w:qFormat/>
    <w:pPr>
      <w:jc w:val="left"/>
      <w:spacing w:before="480" w:after="180"/>
    </w:pPr>
    <w:rPr>
      <w:rFonts w:ascii="Aptos Display" w:hAnsi="Aptos Display"/>
      <w:b/>
      <w:sz w:val="48"/>
      <w:szCs w:val="48"/>
      <w:color w:val="193B4A"/>
    </w:rPr>
  </w:style>
  <w:style w:type="paragraph" w:styleId="Subtitle">
    <w:name w:val="Subtitle"/>
    <w:basedOn w:val="Normal"/>
    <w:qFormat/>
    <w:pPr>
      <w:spacing w:after="300"/>
    </w:pPr>
    <w:rPr>
      <w:sz w:val="26"/>
      <w:szCs w:val="26"/>
      <w:color w:val="8A5A2B"/>
    </w:rPr>
  </w:style>
  <w:style w:type="paragraph" w:styleId="Heading1">
    <w:name w:val="heading 1"/>
    <w:basedOn w:val="Normal"/>
    <w:next w:val="Normal"/>
    <w:qFormat/>
    <w:pPr>
      <w:keepNext/>
      <w:outlineLvl w:val="0"/>
      <w:spacing w:before="420" w:after="140"/>
    </w:pPr>
    <w:rPr>
      <w:rFonts w:ascii="Aptos Display" w:hAnsi="Aptos Display"/>
      <w:b/>
      <w:sz w:val="31"/>
      <w:szCs w:val="31"/>
      <w:color w:val="193B4A"/>
    </w:rPr>
  </w:style>
  <w:style w:type="paragraph" w:styleId="Heading2">
    <w:name w:val="heading 2"/>
    <w:basedOn w:val="Normal"/>
    <w:next w:val="Normal"/>
    <w:qFormat/>
    <w:pPr>
      <w:keepNext/>
      <w:spacing w:before="260" w:after="100"/>
    </w:pPr>
    <w:rPr>
      <w:b/>
      <w:sz w:val="25"/>
      <w:szCs w:val="25"/>
      <w:color w:val="8A5A2B"/>
    </w:rPr>
  </w:style>
  <w:style w:type="paragraph" w:styleId="Heading3">
    <w:name w:val="heading 3"/>
    <w:basedOn w:val="Normal"/>
    <w:next w:val="Normal"/>
    <w:qFormat/>
    <w:pPr>
      <w:keepNext/>
      <w:spacing w:before="180" w:after="80"/>
    </w:pPr>
    <w:rPr>
      <w:b/>
      <w:sz w:val="22"/>
      <w:szCs w:val="22"/>
      <w:color w:val="193B4A"/>
    </w:rPr>
  </w:style>
  <w:style w:type="paragraph" w:styleId="ListParagraph">
    <w:name w:val="List Paragraph"/>
    <w:basedOn w:val="Normal"/>
    <w:pPr>
      <w:ind w:left="420" w:hanging="220"/>
      <w:spacing w:after="80"/>
    </w:pPr>
  </w:style>
  <w:style w:type="paragraph" w:styleId="Note">
    <w:name w:val="ACE Note"/>
    <w:basedOn w:val="Normal"/>
    <w:pPr>
      <w:shd w:fill="F4EBDD"/>
      <w:ind w:left="180" w:right="180"/>
      <w:spacing w:before="160" w:after="180"/>
    </w:pPr>
    <w:rPr>
      <w:sz w:val="20"/>
      <w:szCs w:val="20"/>
    </w:rPr>
  </w:style>
  <w:style w:type="paragraph" w:styleId="Small">
    <w:name w:val="Small"/>
    <w:basedOn w:val="Normal"/>
    <w:pPr>
      <w:spacing w:after="70"/>
    </w:pPr>
    <w:rPr>
      <w:sz w:val="18"/>
      <w:szCs w:val="18"/>
      <w:color w:val="5A6469"/>
    </w:rPr>
  </w:style>
  <w:style w:type="paragraph" w:styleId="TableText">
    <w:name w:val="Table Text"/>
    <w:basedOn w:val="Normal"/>
    <w:pPr>
      <w:spacing w:after="50" w:line="240" w:lineRule="auto"/>
    </w:pPr>
    <w:rPr>
      <w:sz w:val="18"/>
      <w:szCs w:val="18"/>
    </w:rPr>
  </w:style>
  <w:style w:type="paragraph" w:styleId="TableHeader">
    <w:name w:val="Table Header"/>
    <w:basedOn w:val="Normal"/>
    <w:pPr>
      <w:spacing w:after="50"/>
    </w:pPr>
    <w:rPr>
      <w:b/>
      <w:sz w:val="18"/>
      <w:szCs w:val="18"/>
      <w:color w:val="FFFFFF"/>
    </w:rPr>
  </w:style>
  <w:style w:type="paragraph" w:styleId="Header">
    <w:name w:val="Header"/>
    <w:basedOn w:val="Normal"/>
    <w:pPr>
      <w:pBdr>
        <w:bottom w:val="single" w:sz="6" w:space="6" w:color="D8D1C5"/>
      </w:pBdr>
      <w:spacing w:after="80"/>
    </w:pPr>
  </w:style>
  <w:style w:type="paragraph" w:styleId="Footer">
    <w:name w:val="Footer"/>
    <w:basedOn w:val="Normal"/>
    <w:pPr>
      <w:pBdr>
        <w:top w:val="single" w:sz="6" w:space="6" w:color="D8D1C5"/>
      </w:pBdr>
      <w:jc w:val="right"/>
    </w:pPr>
  </w:style>
  <w:style w:type="table" w:styleId="GuideTable">
    <w:name w:val="ACE Guide Table"/>
    <w:basedOn w:val="TableNormal"/>
    <w:tblPr>
      <w:tblCellMar>
        <w:top w:w="110" w:type="dxa"/>
        <w:start w:w="110" w:type="dxa"/>
        <w:bottom w:w="110" w:type="dxa"/>
        <w:end w:w="110" w:type="dxa"/>
      </w:tblCellMar>
    </w:tbl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header" Target="header1.xml"/>
  <Relationship Id="rId5"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Application>ACE Service Guide Generator</Application>
  <DocSecurity>0</DocSecurity>
  <ScaleCrop>false</ScaleCrop>
  <HeadingPairs/>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Inspection &amp; Certification</dc:title>
  <dc:creator>Anay Consultants &amp; Engineers</dc:creator>
  <cp:lastModifiedBy>ACE Technical Desk</cp:lastModifiedBy>
  <dcterms:created xsi:type="dcterms:W3CDTF">2026-10-17T00:00:00Z</dcterms:created>
  <dcterms:modified xsi:type="dcterms:W3CDTF">2026-10-17T00:00:00Z</dcterms:modified>
</cp:coreProperties>
</file>