
<file path=[Content_Types].xml><?xml version="1.0" encoding="utf-8"?>
<Types xmlns="http://schemas.openxmlformats.org/package/2006/content-types">
  <Default Extension="rels" ContentType="application/vnd.openxml-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Small"/>
      </w:pPr>
      <w:r>
        <w:rPr>
          <w:b/>
          <w:color w:val="8A5A2B"/>
        </w:rPr>
        <w:t xml:space="preserve">ANAY CONSULTANTS &amp; ENGINEERS</w:t>
      </w:r>
      <w:r>
        <w:rPr>
          <w:color w:val="8A5A2B"/>
        </w:rPr>
        <w:t xml:space="preserve"/>
      </w:r>
    </w:p>
    <w:p>
      <w:pPr>
        <w:pStyle w:val="Small"/>
      </w:pPr>
      <w:r>
        <w:rPr>
          <w:color w:val="5A6469"/>
        </w:rPr>
        <w:t xml:space="preserve">06  |  ACE SERVICE GUIDE</w:t>
      </w:r>
    </w:p>
    <w:p>
      <w:pPr>
        <w:pStyle w:val="Title"/>
      </w:pPr>
      <w:r>
        <w:t xml:space="preserve">Environmental Services &amp; MPCB Consent Support</w:t>
      </w:r>
    </w:p>
    <w:p>
      <w:pPr>
        <w:pStyle w:val="Subtitle"/>
      </w:pPr>
      <w:r>
        <w:t xml:space="preserve">Consent to Establish, Consent to Operate, renewal and environmental compliance support for industries and infrastructure projects.</w:t>
      </w:r>
    </w:p>
    <w:p>
      <w:pPr>
        <w:pStyle w:val="Small"/>
      </w:pPr>
      <w:r>
        <w:t xml:space="preserve">Prepared for service communication, technical briefing and project scoping</w:t>
      </w:r>
    </w:p>
    <w:p>
      <w:pPr>
        <w:pStyle w:val="Small"/>
      </w:pPr>
      <w:r>
        <w:t xml:space="preserve">Version 1.0  |  17 October 2026  |  Indore, Madhya Pradesh</w:t>
      </w:r>
    </w:p>
    <w:p>
      <w:pPr>
        <w:pStyle w:val="Note"/>
      </w:pPr>
      <w:r>
        <w:rPr>
          <w:b/>
          <w:color w:val="8A5A2B"/>
        </w:rPr>
        <w:t>Important: </w:t>
      </w:r>
      <w:r>
        <w:rPr>
          <w:i/>
          <w:color w:val="5A4635"/>
        </w:rPr>
        <w:t xml:space="preserve">This guide is a detailed service description, not a statutory approval, accreditation certificate, legal opinion or guarantee of project outcome. Applicable standards, permissions, accreditation scope and deliverables must be confirmed for the specific assignment.</w:t>
      </w:r>
    </w:p>
    <w:p>
      <w:pPr>
        <w:pStyle w:val="Normal"/>
      </w:pPr>
      <w:r>
        <w:br w:type="page"/>
      </w:r>
    </w:p>
    <w:p>
      <w:pPr>
        <w:pStyle w:val="Heading1"/>
        <w:keepNext/>
      </w:pPr>
      <w:r>
        <w:t xml:space="preserve">1. Service overview</w:t>
      </w:r>
    </w:p>
    <w:p>
      <w:pPr>
        <w:pStyle w:val="Normal"/>
      </w:pPr>
      <w:r>
        <w:t xml:space="preserve">Environmental consent is not a one-time formality. It connects the proposed site, process, investment, emissions, effluent, waste streams, pollution-control systems and operating conditions to the regulator’s review. ACE coordinates the technical file through Aadhar Enviro: application inputs, document collation, monitoring, site-readiness checks, replies to queries and renewal evidence.</w:t>
      </w:r>
    </w:p>
    <w:p>
      <w:pPr>
        <w:pStyle w:val="Normal"/>
      </w:pPr>
      <w:r>
        <w:t xml:space="preserve">The service is designed around Maharashtra Pollution Control Board requirements for Consent to Establish, Consent to Operate, renewal, amendment and expansion, while also coordinating the wider environmental work that may support an industrial or infrastructure project: air, water, effluent, noise, waste, baseline, EIA/EMP and compliance records.</w:t>
      </w:r>
    </w:p>
    <w:p>
      <w:pPr>
        <w:pStyle w:val="Normal"/>
      </w:pPr>
      <w:r>
        <w:t xml:space="preserve">Environmental clearances, consents, authorizations and statutory certifications are not automatically issued by a consultant. The project proponent, competent authority and appropriately qualified or recognized consultant retain the legal responsibility for the relevant submission and approval.</w:t>
      </w:r>
    </w:p>
    <w:p>
      <w:pPr>
        <w:pStyle w:val="Heading1"/>
        <w:keepNext/>
      </w:pPr>
      <w:r>
        <w:t xml:space="preserve">2. Scope of work</w:t>
      </w:r>
    </w:p>
    <w:p>
      <w:pPr>
        <w:pStyle w:val="Normal"/>
      </w:pPr>
      <w:r>
        <w:t xml:space="preserve">The assignment can begin with a new industrial proposal requiring Consent to Establish, a unit preparing for first Consent to Operate, an operating facility approaching renewal, or a project facing amendment, expansion, change in product, capacity or pollution-control configuration. The team maps the activity, site and land documents, capital investment, manufacturing process, raw materials, water balance, emissions, effluent, hazardous or other waste, biomedical waste where relevant, pollution-control systems and previous consent conditions.</w:t>
      </w:r>
    </w:p>
    <w:p>
      <w:pPr>
        <w:pStyle w:val="Normal"/>
      </w:pPr>
      <w:r>
        <w:t xml:space="preserve">The technical package can include project reports, site and layout plans, process flow, raw-material and product details, water and wastewater balance, emission sources, pollution-control equipment, waste-management arrangements, monitoring plans, laboratory records, environmental-clearance references and compliance declarations as applicable to the current MPCB route.</w:t>
      </w:r>
    </w:p>
    <w:p>
      <w:pPr>
        <w:pStyle w:val="Normal"/>
      </w:pPr>
      <w:r>
        <w:t xml:space="preserve">The final report distinguishes measured data, calculated values, assumptions, limitations, laboratory status, applicable standard and the project condition or decision the result supports. Current MPCB/CPCB directions and the issued consent order control category, conditions and validity; older tables should not be used without checking the current authority position.</w:t>
      </w:r>
    </w:p>
    <w:p>
      <w:pPr>
        <w:pStyle w:val="Heading1"/>
        <w:keepNext/>
      </w:pPr>
      <w:r>
        <w:t xml:space="preserve">3. Detailed service components</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3000"/>
        <w:gridCol w:w="6900"/>
      </w:tblGrid>
      <w:tr>
        <w:tc>
          <w:tcPr>
            <w:tcW w:w="3000" w:type="dxa"/>
            <w:shd w:fill="193B4A"/>
          </w:tcPr>
          <w:p>
            <w:pPr>
              <w:pStyle w:val="TableHeader"/>
            </w:pPr>
            <w:r>
              <w:rPr>
                <w:color w:val="FFFFFF"/>
              </w:rPr>
              <w:t xml:space="preserve">Service component</w:t>
            </w:r>
          </w:p>
        </w:tc>
        <w:tc>
          <w:tcPr>
            <w:tcW w:w="6900" w:type="dxa"/>
            <w:shd w:fill="193B4A"/>
          </w:tcPr>
          <w:p>
            <w:pPr>
              <w:pStyle w:val="TableHeader"/>
            </w:pPr>
            <w:r>
              <w:rPr>
                <w:color w:val="FFFFFF"/>
              </w:rPr>
              <w:t xml:space="preserve">What the assignment may include</w:t>
            </w:r>
          </w:p>
        </w:tc>
      </w:tr>
      <w:tr>
        <w:tc>
          <w:tcPr>
            <w:tcW w:w="3000" w:type="dxa"/>
          </w:tcPr>
          <w:p>
            <w:pPr>
              <w:pStyle w:val="TableText"/>
            </w:pPr>
            <w:r>
              <w:rPr>
                <w:color w:val="25323A"/>
              </w:rPr>
              <w:t xml:space="preserve">Consent to Establish</w:t>
            </w:r>
          </w:p>
        </w:tc>
        <w:tc>
          <w:tcPr>
            <w:tcW w:w="6900" w:type="dxa"/>
          </w:tcPr>
          <w:p>
            <w:pPr>
              <w:pStyle w:val="TableText"/>
            </w:pPr>
            <w:r>
              <w:rPr>
                <w:color w:val="25323A"/>
              </w:rPr>
              <w:t xml:space="preserve">Support the application before construction, installation or expansion by organizing the project report, site, process, investment, pollution-control and environmental information required for the current MPCB route.</w:t>
            </w:r>
          </w:p>
        </w:tc>
      </w:tr>
      <w:tr>
        <w:tc>
          <w:tcPr>
            <w:tcW w:w="3000" w:type="dxa"/>
          </w:tcPr>
          <w:p>
            <w:pPr>
              <w:pStyle w:val="TableText"/>
            </w:pPr>
            <w:r>
              <w:rPr>
                <w:color w:val="25323A"/>
              </w:rPr>
              <w:t xml:space="preserve">Consent to Operate</w:t>
            </w:r>
          </w:p>
        </w:tc>
        <w:tc>
          <w:tcPr>
            <w:tcW w:w="6900" w:type="dxa"/>
          </w:tcPr>
          <w:p>
            <w:pPr>
              <w:pStyle w:val="TableText"/>
            </w:pPr>
            <w:r>
              <w:rPr>
                <w:color w:val="25323A"/>
              </w:rPr>
              <w:t xml:space="preserve">Prepare operational details, pollution-control evidence, monitoring records and site-readiness inputs before production, commissioning or operation of the approved unit.</w:t>
            </w:r>
          </w:p>
        </w:tc>
      </w:tr>
      <w:tr>
        <w:tc>
          <w:tcPr>
            <w:tcW w:w="3000" w:type="dxa"/>
          </w:tcPr>
          <w:p>
            <w:pPr>
              <w:pStyle w:val="TableText"/>
            </w:pPr>
            <w:r>
              <w:rPr>
                <w:color w:val="25323A"/>
              </w:rPr>
              <w:t xml:space="preserve">Renewal, amendment and expansion</w:t>
            </w:r>
          </w:p>
        </w:tc>
        <w:tc>
          <w:tcPr>
            <w:tcW w:w="6900" w:type="dxa"/>
          </w:tcPr>
          <w:p>
            <w:pPr>
              <w:pStyle w:val="TableText"/>
            </w:pPr>
            <w:r>
              <w:rPr>
                <w:color w:val="25323A"/>
              </w:rPr>
              <w:t xml:space="preserve">Review the existing consent, actual activity, conditions, monitoring history and proposed changes, then prepare the renewal, amendment or expansion evidence package.</w:t>
            </w:r>
          </w:p>
        </w:tc>
      </w:tr>
      <w:tr>
        <w:tc>
          <w:tcPr>
            <w:tcW w:w="3000" w:type="dxa"/>
          </w:tcPr>
          <w:p>
            <w:pPr>
              <w:pStyle w:val="TableText"/>
            </w:pPr>
            <w:r>
              <w:rPr>
                <w:color w:val="25323A"/>
              </w:rPr>
              <w:t xml:space="preserve">Application and document coordination</w:t>
            </w:r>
          </w:p>
        </w:tc>
        <w:tc>
          <w:tcPr>
            <w:tcW w:w="6900" w:type="dxa"/>
          </w:tcPr>
          <w:p>
            <w:pPr>
              <w:pStyle w:val="TableText"/>
            </w:pPr>
            <w:r>
              <w:rPr>
                <w:color w:val="25323A"/>
              </w:rPr>
              <w:t xml:space="preserve">Collate land and site documents, layout, process flow, raw materials, products, water balance, emissions, effluent, waste, equipment and declarations; support online filing and query responses.</w:t>
            </w:r>
          </w:p>
        </w:tc>
      </w:tr>
      <w:tr>
        <w:tc>
          <w:tcPr>
            <w:tcW w:w="3000" w:type="dxa"/>
          </w:tcPr>
          <w:p>
            <w:pPr>
              <w:pStyle w:val="TableText"/>
            </w:pPr>
            <w:r>
              <w:rPr>
                <w:color w:val="25323A"/>
              </w:rPr>
              <w:t xml:space="preserve">Pollution-potential and category screening</w:t>
            </w:r>
          </w:p>
        </w:tc>
        <w:tc>
          <w:tcPr>
            <w:tcW w:w="6900" w:type="dxa"/>
          </w:tcPr>
          <w:p>
            <w:pPr>
              <w:pStyle w:val="TableText"/>
            </w:pPr>
            <w:r>
              <w:rPr>
                <w:color w:val="25323A"/>
              </w:rPr>
              <w:t xml:space="preserve">Review the current MPCB/CPCB category, pollution-index approach, sector list, activity and consent requirement rather than relying on an outdated generic Red/Orange/Green/White table.</w:t>
            </w:r>
          </w:p>
        </w:tc>
      </w:tr>
      <w:tr>
        <w:tc>
          <w:tcPr>
            <w:tcW w:w="3000" w:type="dxa"/>
          </w:tcPr>
          <w:p>
            <w:pPr>
              <w:pStyle w:val="TableText"/>
            </w:pPr>
            <w:r>
              <w:rPr>
                <w:color w:val="25323A"/>
              </w:rPr>
              <w:t xml:space="preserve">Air, stack and noise monitoring</w:t>
            </w:r>
          </w:p>
        </w:tc>
        <w:tc>
          <w:tcPr>
            <w:tcW w:w="6900" w:type="dxa"/>
          </w:tcPr>
          <w:p>
            <w:pPr>
              <w:pStyle w:val="TableText"/>
            </w:pPr>
            <w:r>
              <w:rPr>
                <w:color w:val="25323A"/>
              </w:rPr>
              <w:t xml:space="preserve">Plan and coordinate PM10, PM2.5, gaseous, stack, process, fugitive, workplace or environmental-noise monitoring against the confirmed method, locations, frequency and authority criterion.</w:t>
            </w:r>
          </w:p>
        </w:tc>
      </w:tr>
      <w:tr>
        <w:tc>
          <w:tcPr>
            <w:tcW w:w="3000" w:type="dxa"/>
          </w:tcPr>
          <w:p>
            <w:pPr>
              <w:pStyle w:val="TableText"/>
            </w:pPr>
            <w:r>
              <w:rPr>
                <w:color w:val="25323A"/>
              </w:rPr>
              <w:t xml:space="preserve">Water, effluent, soil and waste evidence</w:t>
            </w:r>
          </w:p>
        </w:tc>
        <w:tc>
          <w:tcPr>
            <w:tcW w:w="6900" w:type="dxa"/>
          </w:tcPr>
          <w:p>
            <w:pPr>
              <w:pStyle w:val="TableText"/>
            </w:pPr>
            <w:r>
              <w:rPr>
                <w:color w:val="25323A"/>
              </w:rPr>
              <w:t xml:space="preserve">Coordinate surface-water, groundwater, drinking-water, effluent, soil, hazardous-waste, other-waste and biomedical-waste records with representative sampling, preservation and laboratory documentation.</w:t>
            </w:r>
          </w:p>
        </w:tc>
      </w:tr>
      <w:tr>
        <w:tc>
          <w:tcPr>
            <w:tcW w:w="3000" w:type="dxa"/>
          </w:tcPr>
          <w:p>
            <w:pPr>
              <w:pStyle w:val="TableText"/>
            </w:pPr>
            <w:r>
              <w:rPr>
                <w:color w:val="25323A"/>
              </w:rPr>
              <w:t xml:space="preserve">Baseline, EIA/EMP and compliance inputs</w:t>
            </w:r>
          </w:p>
        </w:tc>
        <w:tc>
          <w:tcPr>
            <w:tcW w:w="6900" w:type="dxa"/>
          </w:tcPr>
          <w:p>
            <w:pPr>
              <w:pStyle w:val="TableText"/>
            </w:pPr>
            <w:r>
              <w:rPr>
                <w:color w:val="25323A"/>
              </w:rPr>
              <w:t xml:space="preserve">Support baseline design, data review, technical EIA/EMP inputs, consent-condition registers, monitoring calendars, corrective actions and lender or client reporting.</w:t>
            </w:r>
          </w:p>
        </w:tc>
      </w:tr>
    </w:tbl>
    <w:p>
      <w:pPr>
        <w:pStyle w:val="Heading1"/>
        <w:keepNext/>
      </w:pPr>
      <w:r>
        <w:t xml:space="preserve">4. Standards, codes and government guidance</w:t>
      </w:r>
    </w:p>
    <w:p>
      <w:pPr>
        <w:pStyle w:val="Normal"/>
      </w:pPr>
      <w:r>
        <w:t xml:space="preserve">The following references are commonly relevant to this service. The controlling edition, amendment, method, authority requirement and contract specification must be checked before issue or execution.</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600"/>
        <w:gridCol w:w="7300"/>
      </w:tblGrid>
      <w:tr>
        <w:tc>
          <w:tcPr>
            <w:tcW w:w="2600" w:type="dxa"/>
            <w:shd w:fill="193B4A"/>
          </w:tcPr>
          <w:p>
            <w:pPr>
              <w:pStyle w:val="TableHeader"/>
            </w:pPr>
            <w:r>
              <w:rPr>
                <w:color w:val="FFFFFF"/>
              </w:rPr>
              <w:t xml:space="preserve">Reference area</w:t>
            </w:r>
          </w:p>
        </w:tc>
        <w:tc>
          <w:tcPr>
            <w:tcW w:w="7300" w:type="dxa"/>
            <w:shd w:fill="193B4A"/>
          </w:tcPr>
          <w:p>
            <w:pPr>
              <w:pStyle w:val="TableHeader"/>
            </w:pPr>
            <w:r>
              <w:rPr>
                <w:color w:val="FFFFFF"/>
              </w:rPr>
              <w:t xml:space="preserve">Applicable references and use</w:t>
            </w:r>
          </w:p>
        </w:tc>
      </w:tr>
      <w:tr>
        <w:tc>
          <w:tcPr>
            <w:tcW w:w="2600" w:type="dxa"/>
          </w:tcPr>
          <w:p>
            <w:pPr>
              <w:pStyle w:val="TableText"/>
            </w:pPr>
            <w:r>
              <w:rPr>
                <w:color w:val="25323A"/>
              </w:rPr>
              <w:t xml:space="preserve">Legal framework</w:t>
            </w:r>
          </w:p>
        </w:tc>
        <w:tc>
          <w:tcPr>
            <w:tcW w:w="7300" w:type="dxa"/>
          </w:tcPr>
          <w:p>
            <w:pPr>
              <w:pStyle w:val="TableText"/>
            </w:pPr>
            <w:r>
              <w:rPr>
                <w:color w:val="25323A"/>
              </w:rPr>
              <w:t xml:space="preserve">Water (Prevention and Control of Pollution) Act, 1974; Air (Prevention and Control of Pollution) Act, 1981; Environment (Protection) Act and Rules; and applicable notifications or consent conditions.</w:t>
            </w:r>
          </w:p>
        </w:tc>
      </w:tr>
      <w:tr>
        <w:tc>
          <w:tcPr>
            <w:tcW w:w="2600" w:type="dxa"/>
          </w:tcPr>
          <w:p>
            <w:pPr>
              <w:pStyle w:val="TableText"/>
            </w:pPr>
            <w:r>
              <w:rPr>
                <w:color w:val="25323A"/>
              </w:rPr>
              <w:t xml:space="preserve">EIA and approvals</w:t>
            </w:r>
          </w:p>
        </w:tc>
        <w:tc>
          <w:tcPr>
            <w:tcW w:w="7300" w:type="dxa"/>
          </w:tcPr>
          <w:p>
            <w:pPr>
              <w:pStyle w:val="TableText"/>
            </w:pPr>
            <w:r>
              <w:rPr>
                <w:color w:val="25323A"/>
              </w:rPr>
              <w:t xml:space="preserve">EIA Notification, 2006 as amended, applicable Terms of Reference, environmental-clearance conditions, PARIVESH requirements and authority formats where the project triggers them.</w:t>
            </w:r>
          </w:p>
        </w:tc>
      </w:tr>
      <w:tr>
        <w:tc>
          <w:tcPr>
            <w:tcW w:w="2600" w:type="dxa"/>
          </w:tcPr>
          <w:p>
            <w:pPr>
              <w:pStyle w:val="TableText"/>
            </w:pPr>
            <w:r>
              <w:rPr>
                <w:color w:val="25323A"/>
              </w:rPr>
              <w:t xml:space="preserve">MPCB consent route</w:t>
            </w:r>
          </w:p>
        </w:tc>
        <w:tc>
          <w:tcPr>
            <w:tcW w:w="7300" w:type="dxa"/>
          </w:tcPr>
          <w:p>
            <w:pPr>
              <w:pStyle w:val="TableText"/>
            </w:pPr>
            <w:r>
              <w:rPr>
                <w:color w:val="25323A"/>
              </w:rPr>
              <w:t xml:space="preserve">Current MPCB consent procedures, application and portal requirements, consent orders, category directions, sector-specific circulars, waste authorizations and conditions for the Maharashtra site.</w:t>
            </w:r>
          </w:p>
        </w:tc>
      </w:tr>
      <w:tr>
        <w:tc>
          <w:tcPr>
            <w:tcW w:w="2600" w:type="dxa"/>
          </w:tcPr>
          <w:p>
            <w:pPr>
              <w:pStyle w:val="TableText"/>
            </w:pPr>
            <w:r>
              <w:rPr>
                <w:color w:val="25323A"/>
              </w:rPr>
              <w:t xml:space="preserve">CPCB categorization</w:t>
            </w:r>
          </w:p>
        </w:tc>
        <w:tc>
          <w:tcPr>
            <w:tcW w:w="7300" w:type="dxa"/>
          </w:tcPr>
          <w:p>
            <w:pPr>
              <w:pStyle w:val="TableText"/>
            </w:pPr>
            <w:r>
              <w:rPr>
                <w:color w:val="25323A"/>
              </w:rPr>
              <w:t xml:space="preserve">Current CPCB industry categorization, pollution-index methodology and revised Red, Orange, Green, White, Blue or sector-specific directions applicable at the time of filing. The issued consent order controls the project.</w:t>
            </w:r>
          </w:p>
        </w:tc>
      </w:tr>
      <w:tr>
        <w:tc>
          <w:tcPr>
            <w:tcW w:w="2600" w:type="dxa"/>
          </w:tcPr>
          <w:p>
            <w:pPr>
              <w:pStyle w:val="TableText"/>
            </w:pPr>
            <w:r>
              <w:rPr>
                <w:color w:val="25323A"/>
              </w:rPr>
              <w:t xml:space="preserve">CPCB references</w:t>
            </w:r>
          </w:p>
        </w:tc>
        <w:tc>
          <w:tcPr>
            <w:tcW w:w="7300" w:type="dxa"/>
          </w:tcPr>
          <w:p>
            <w:pPr>
              <w:pStyle w:val="TableText"/>
            </w:pPr>
            <w:r>
              <w:rPr>
                <w:color w:val="25323A"/>
              </w:rPr>
              <w:t xml:space="preserve">National Ambient Air Quality Standards, emission and effluent standards, monitoring guidance, water-quality criteria, industry-specific requirements and CPCB technical guidance.</w:t>
            </w:r>
          </w:p>
        </w:tc>
      </w:tr>
      <w:tr>
        <w:tc>
          <w:tcPr>
            <w:tcW w:w="2600" w:type="dxa"/>
          </w:tcPr>
          <w:p>
            <w:pPr>
              <w:pStyle w:val="TableText"/>
            </w:pPr>
            <w:r>
              <w:rPr>
                <w:color w:val="25323A"/>
              </w:rPr>
              <w:t xml:space="preserve">Indian methods</w:t>
            </w:r>
          </w:p>
        </w:tc>
        <w:tc>
          <w:tcPr>
            <w:tcW w:w="7300" w:type="dxa"/>
          </w:tcPr>
          <w:p>
            <w:pPr>
              <w:pStyle w:val="TableText"/>
            </w:pPr>
            <w:r>
              <w:rPr>
                <w:color w:val="25323A"/>
              </w:rPr>
              <w:t xml:space="preserve">IS 3025 series for water and wastewater, IS 5182 series for air-pollution measurement and authority-prescribed sampling and analysis methods.</w:t>
            </w:r>
          </w:p>
        </w:tc>
      </w:tr>
      <w:tr>
        <w:tc>
          <w:tcPr>
            <w:tcW w:w="2600" w:type="dxa"/>
          </w:tcPr>
          <w:p>
            <w:pPr>
              <w:pStyle w:val="TableText"/>
            </w:pPr>
            <w:r>
              <w:rPr>
                <w:color w:val="25323A"/>
              </w:rPr>
              <w:t xml:space="preserve">Noise and waste</w:t>
            </w:r>
          </w:p>
        </w:tc>
        <w:tc>
          <w:tcPr>
            <w:tcW w:w="7300" w:type="dxa"/>
          </w:tcPr>
          <w:p>
            <w:pPr>
              <w:pStyle w:val="TableText"/>
            </w:pPr>
            <w:r>
              <w:rPr>
                <w:color w:val="25323A"/>
              </w:rPr>
              <w:t xml:space="preserve">Noise Pollution (Regulation and Control) Rules, 2000 and current Solid Waste, C&amp;D Waste, Hazardous and Other Wastes, Plastic, E-Waste, Battery Waste and Biomedical Waste requirements where triggered.</w:t>
            </w:r>
          </w:p>
        </w:tc>
      </w:tr>
      <w:tr>
        <w:tc>
          <w:tcPr>
            <w:tcW w:w="2600" w:type="dxa"/>
          </w:tcPr>
          <w:p>
            <w:pPr>
              <w:pStyle w:val="TableText"/>
            </w:pPr>
            <w:r>
              <w:rPr>
                <w:color w:val="25323A"/>
              </w:rPr>
              <w:t xml:space="preserve">Recognized laboratory scope</w:t>
            </w:r>
          </w:p>
        </w:tc>
        <w:tc>
          <w:tcPr>
            <w:tcW w:w="7300" w:type="dxa"/>
          </w:tcPr>
          <w:p>
            <w:pPr>
              <w:pStyle w:val="TableText"/>
            </w:pPr>
            <w:r>
              <w:rPr>
                <w:color w:val="25323A"/>
              </w:rPr>
              <w:t xml:space="preserve">Where a regulator, lender or tender requires an accredited or recognized laboratory, confirm the legal entity and exact parameter/method scope. ACE accreditation is not implied.</w:t>
            </w:r>
          </w:p>
        </w:tc>
      </w:tr>
    </w:tbl>
    <w:p>
      <w:pPr>
        <w:pStyle w:val="Heading1"/>
        <w:keepNext/>
      </w:pPr>
      <w:r>
        <w:t xml:space="preserve">5. Target clients and project types</w:t>
      </w:r>
    </w:p>
    <w:p>
      <w:pPr>
        <w:pStyle w:val="Normal"/>
      </w:pPr>
      <w:r>
        <w:t xml:space="preserve">This service is suited to the following client groups and project situations, subject to the agreed scope and procurement route:</w:t>
      </w:r>
    </w:p>
    <w:p>
      <w:pPr>
        <w:pStyle w:val="ListParagraph"/>
        <w:numPr>
          <w:ilvl w:val="0"/>
          <w:numId w:val="1"/>
        </w:numPr>
      </w:pPr>
      <w:r>
        <w:t xml:space="preserve">Industrial project owners, developers, manufacturing facilities and process plants.</w:t>
      </w:r>
    </w:p>
    <w:p>
      <w:pPr>
        <w:pStyle w:val="ListParagraph"/>
        <w:numPr>
          <w:ilvl w:val="0"/>
          <w:numId w:val="1"/>
        </w:numPr>
      </w:pPr>
      <w:r>
        <w:t xml:space="preserve">Chemical, pharmaceutical, food, textile, engineering and construction-material units.</w:t>
      </w:r>
    </w:p>
    <w:p>
      <w:pPr>
        <w:pStyle w:val="ListParagraph"/>
        <w:numPr>
          <w:ilvl w:val="0"/>
          <w:numId w:val="1"/>
        </w:numPr>
      </w:pPr>
      <w:r>
        <w:t xml:space="preserve">Mining, quarrying, mineral-processing, energy, utility and logistics operations.</w:t>
      </w:r>
    </w:p>
    <w:p>
      <w:pPr>
        <w:pStyle w:val="ListParagraph"/>
        <w:numPr>
          <w:ilvl w:val="0"/>
          <w:numId w:val="1"/>
        </w:numPr>
      </w:pPr>
      <w:r>
        <w:t xml:space="preserve">Healthcare institutions and other biomedical-waste generators where authorization is triggered.</w:t>
      </w:r>
    </w:p>
    <w:p>
      <w:pPr>
        <w:pStyle w:val="ListParagraph"/>
        <w:numPr>
          <w:ilvl w:val="0"/>
          <w:numId w:val="1"/>
        </w:numPr>
      </w:pPr>
      <w:r>
        <w:t xml:space="preserve">EPC contractors, PMCs, project developers and EHS or sustainability departments.</w:t>
      </w:r>
    </w:p>
    <w:p>
      <w:pPr>
        <w:pStyle w:val="ListParagraph"/>
        <w:numPr>
          <w:ilvl w:val="0"/>
          <w:numId w:val="1"/>
        </w:numPr>
      </w:pPr>
      <w:r>
        <w:t xml:space="preserve">Infrastructure, highway, railway, water, urban and public-project proponents.</w:t>
      </w:r>
    </w:p>
    <w:p>
      <w:pPr>
        <w:pStyle w:val="ListParagraph"/>
        <w:numPr>
          <w:ilvl w:val="0"/>
          <w:numId w:val="1"/>
        </w:numPr>
      </w:pPr>
      <w:r>
        <w:t xml:space="preserve">Lender’s engineers and project teams coordinating statutory submissions through an appointed qualified or recognized consultant.</w:t>
      </w:r>
    </w:p>
    <w:p>
      <w:pPr>
        <w:pStyle w:val="Heading1"/>
        <w:keepNext/>
      </w:pPr>
      <w:r>
        <w:t xml:space="preserve">6. Delivery workflow</w:t>
      </w:r>
    </w:p>
    <w:p>
      <w:pPr>
        <w:pStyle w:val="Normal"/>
      </w:pPr>
      <w:r>
        <w:t xml:space="preserve">A clear brief and traceable records reduce rework. A typical engagement follows these steps:</w:t>
      </w:r>
    </w:p>
    <w:p>
      <w:pPr>
        <w:pStyle w:val="ListParagraph"/>
        <w:numPr>
          <w:ilvl w:val="0"/>
          <w:numId w:val="2"/>
        </w:numPr>
      </w:pPr>
      <w:r>
        <w:t xml:space="preserve">Identify the jurisdiction, project stage and route: Consent to Establish, Consent to Operate, renewal, amendment, expansion or authorization.</w:t>
      </w:r>
    </w:p>
    <w:p>
      <w:pPr>
        <w:pStyle w:val="ListParagraph"/>
        <w:numPr>
          <w:ilvl w:val="0"/>
          <w:numId w:val="2"/>
        </w:numPr>
      </w:pPr>
      <w:r>
        <w:t xml:space="preserve">Review the activity, site, investment, process, raw materials, products, water balance, emissions, effluent, waste, pollution-control systems and existing conditions.</w:t>
      </w:r>
    </w:p>
    <w:p>
      <w:pPr>
        <w:pStyle w:val="ListParagraph"/>
        <w:numPr>
          <w:ilvl w:val="0"/>
          <w:numId w:val="2"/>
        </w:numPr>
      </w:pPr>
      <w:r>
        <w:t xml:space="preserve">Map the current MPCB/CPCB category, sector directions, environmental-clearance trigger, monitoring, laboratory, waste and reporting requirements.</w:t>
      </w:r>
    </w:p>
    <w:p>
      <w:pPr>
        <w:pStyle w:val="ListParagraph"/>
        <w:numPr>
          <w:ilvl w:val="0"/>
          <w:numId w:val="2"/>
        </w:numPr>
      </w:pPr>
      <w:r>
        <w:t xml:space="preserve">Prepare the application inputs, drawings, reports, declarations, pollution-control plan, monitoring schedule and evidence register.</w:t>
      </w:r>
    </w:p>
    <w:p>
      <w:pPr>
        <w:pStyle w:val="ListParagraph"/>
        <w:numPr>
          <w:ilvl w:val="0"/>
          <w:numId w:val="2"/>
        </w:numPr>
      </w:pPr>
      <w:r>
        <w:t xml:space="preserve">Coordinate site visits, sampling, laboratory records, readiness checks and responses to authority queries or inspection observations.</w:t>
      </w:r>
    </w:p>
    <w:p>
      <w:pPr>
        <w:pStyle w:val="ListParagraph"/>
        <w:numPr>
          <w:ilvl w:val="0"/>
          <w:numId w:val="2"/>
        </w:numPr>
      </w:pPr>
      <w:r>
        <w:t xml:space="preserve">Track the submitted case, consent conditions, corrective actions, monitoring periods, renewal dates and follow-up evidence.</w:t>
      </w:r>
    </w:p>
    <w:p>
      <w:pPr>
        <w:pStyle w:val="ListParagraph"/>
        <w:numPr>
          <w:ilvl w:val="0"/>
          <w:numId w:val="2"/>
        </w:numPr>
      </w:pPr>
      <w:r>
        <w:t xml:space="preserve">Maintain the compliance calendar and next-cycle renewal dossier with the project team.</w:t>
      </w:r>
    </w:p>
    <w:p>
      <w:pPr>
        <w:pStyle w:val="Heading1"/>
        <w:keepNext/>
      </w:pPr>
      <w:r>
        <w:t xml:space="preserve">7. Typical deliverables</w:t>
      </w:r>
    </w:p>
    <w:p>
      <w:pPr>
        <w:pStyle w:val="ListParagraph"/>
        <w:numPr>
          <w:ilvl w:val="0"/>
          <w:numId w:val="1"/>
        </w:numPr>
      </w:pPr>
      <w:r>
        <w:t xml:space="preserve">Consent to Establish application and technical submission pack.</w:t>
      </w:r>
    </w:p>
    <w:p>
      <w:pPr>
        <w:pStyle w:val="ListParagraph"/>
        <w:numPr>
          <w:ilvl w:val="0"/>
          <w:numId w:val="1"/>
        </w:numPr>
      </w:pPr>
      <w:r>
        <w:t xml:space="preserve">Consent to Operate and renewal evidence pack.</w:t>
      </w:r>
    </w:p>
    <w:p>
      <w:pPr>
        <w:pStyle w:val="ListParagraph"/>
        <w:numPr>
          <w:ilvl w:val="0"/>
          <w:numId w:val="1"/>
        </w:numPr>
      </w:pPr>
      <w:r>
        <w:t xml:space="preserve">Process, site, water-balance, emission, effluent, waste and pollution-control schedules.</w:t>
      </w:r>
    </w:p>
    <w:p>
      <w:pPr>
        <w:pStyle w:val="ListParagraph"/>
        <w:numPr>
          <w:ilvl w:val="0"/>
          <w:numId w:val="1"/>
        </w:numPr>
      </w:pPr>
      <w:r>
        <w:t xml:space="preserve">Monitoring plans, sample registers, chain-of-custody and laboratory-coordination records.</w:t>
      </w:r>
    </w:p>
    <w:p>
      <w:pPr>
        <w:pStyle w:val="ListParagraph"/>
        <w:numPr>
          <w:ilvl w:val="0"/>
          <w:numId w:val="1"/>
        </w:numPr>
      </w:pPr>
      <w:r>
        <w:t xml:space="preserve">Baseline, EIA/EMP, environmental due-diligence and authority-response inputs.</w:t>
      </w:r>
    </w:p>
    <w:p>
      <w:pPr>
        <w:pStyle w:val="ListParagraph"/>
        <w:numPr>
          <w:ilvl w:val="0"/>
          <w:numId w:val="1"/>
        </w:numPr>
      </w:pPr>
      <w:r>
        <w:t xml:space="preserve">Consent-condition register, compliance calendar, renewal evidence and corrective-action tracker.</w:t>
      </w:r>
    </w:p>
    <w:p>
      <w:pPr>
        <w:pStyle w:val="ListParagraph"/>
        <w:numPr>
          <w:ilvl w:val="0"/>
          <w:numId w:val="1"/>
        </w:numPr>
      </w:pPr>
      <w:r>
        <w:t xml:space="preserve">MPCB, CPCB, lender or client reporting packs where included in the appointment.</w:t>
      </w:r>
    </w:p>
    <w:p>
      <w:pPr>
        <w:pStyle w:val="Heading1"/>
        <w:keepNext/>
      </w:pPr>
      <w:r>
        <w:t xml:space="preserve">8. Benefits and decision value</w:t>
      </w:r>
    </w:p>
    <w:p>
      <w:pPr>
        <w:pStyle w:val="ListParagraph"/>
        <w:numPr>
          <w:ilvl w:val="0"/>
          <w:numId w:val="1"/>
        </w:numPr>
      </w:pPr>
      <w:r>
        <w:t xml:space="preserve">A consent file that connects the proposed activity to its actual site and pollution-control plan.</w:t>
      </w:r>
    </w:p>
    <w:p>
      <w:pPr>
        <w:pStyle w:val="ListParagraph"/>
        <w:numPr>
          <w:ilvl w:val="0"/>
          <w:numId w:val="1"/>
        </w:numPr>
      </w:pPr>
      <w:r>
        <w:t xml:space="preserve">Fewer avoidable gaps in process, water, emission, effluent and waste information.</w:t>
      </w:r>
    </w:p>
    <w:p>
      <w:pPr>
        <w:pStyle w:val="ListParagraph"/>
        <w:numPr>
          <w:ilvl w:val="0"/>
          <w:numId w:val="1"/>
        </w:numPr>
      </w:pPr>
      <w:r>
        <w:t xml:space="preserve">Clearer readiness for scrutiny, site visits, queries and consent conditions.</w:t>
      </w:r>
    </w:p>
    <w:p>
      <w:pPr>
        <w:pStyle w:val="ListParagraph"/>
        <w:numPr>
          <w:ilvl w:val="0"/>
          <w:numId w:val="1"/>
        </w:numPr>
      </w:pPr>
      <w:r>
        <w:t xml:space="preserve">Monitoring data and compliance records that EHS teams can explain and maintain.</w:t>
      </w:r>
    </w:p>
    <w:p>
      <w:pPr>
        <w:pStyle w:val="ListParagraph"/>
        <w:numPr>
          <w:ilvl w:val="0"/>
          <w:numId w:val="1"/>
        </w:numPr>
      </w:pPr>
      <w:r>
        <w:t xml:space="preserve">Fewer missed renewal dates, incomplete submissions and preventable re-submissions.</w:t>
      </w:r>
    </w:p>
    <w:p>
      <w:pPr>
        <w:pStyle w:val="ListParagraph"/>
        <w:numPr>
          <w:ilvl w:val="0"/>
          <w:numId w:val="1"/>
        </w:numPr>
      </w:pPr>
      <w:r>
        <w:t xml:space="preserve">A traceable bridge between field observations, laboratory results and regulatory commitments.</w:t>
      </w:r>
    </w:p>
    <w:p>
      <w:pPr>
        <w:pStyle w:val="Heading1"/>
        <w:keepNext/>
      </w:pPr>
      <w:r>
        <w:t xml:space="preserve">9. Responsibilities and claim boundaries</w:t>
      </w:r>
    </w:p>
    <w:p>
      <w:pPr>
        <w:pStyle w:val="ListParagraph"/>
        <w:numPr>
          <w:ilvl w:val="0"/>
          <w:numId w:val="1"/>
        </w:numPr>
      </w:pPr>
      <w:r>
        <w:t xml:space="preserve">ACE can support monitoring, technical inputs, coordination and compliance records; it does not itself issue environmental clearance, consent, authorization or statutory certification unless legally authorized and specifically appointed to do so.</w:t>
      </w:r>
    </w:p>
    <w:p>
      <w:pPr>
        <w:pStyle w:val="ListParagraph"/>
        <w:numPr>
          <w:ilvl w:val="0"/>
          <w:numId w:val="1"/>
        </w:numPr>
      </w:pPr>
      <w:r>
        <w:t xml:space="preserve">EIA/EMP authorship, statutory sign-off and regulatory representation must follow the responsible proponent, authority and appropriately qualified or recognized consultant pathway.</w:t>
      </w:r>
    </w:p>
    <w:p>
      <w:pPr>
        <w:pStyle w:val="ListParagraph"/>
        <w:numPr>
          <w:ilvl w:val="0"/>
          <w:numId w:val="1"/>
        </w:numPr>
      </w:pPr>
      <w:r>
        <w:t xml:space="preserve">Environmental conclusions depend on representative sampling, monitoring duration, laboratory method, site conditions, project configuration and applicable authority requirements.</w:t>
      </w:r>
    </w:p>
    <w:p>
      <w:pPr>
        <w:pStyle w:val="ListParagraph"/>
        <w:numPr>
          <w:ilvl w:val="0"/>
          <w:numId w:val="1"/>
        </w:numPr>
      </w:pPr>
      <w:r>
        <w:t xml:space="preserve">Category, validity, emission or effluent limits, consent conditions and waste requirements must be checked against the current MPCB/CPCB direction and issued consent order; the guide is not a substitute for the current order.</w:t>
      </w:r>
    </w:p>
    <w:p>
      <w:pPr>
        <w:pStyle w:val="ListParagraph"/>
        <w:numPr>
          <w:ilvl w:val="0"/>
          <w:numId w:val="1"/>
        </w:numPr>
      </w:pPr>
      <w:r>
        <w:t xml:space="preserve">The client remains responsible for providing accurate process, capacity, fuel, land, production and approval information and for implementing required controls.</w:t>
      </w:r>
    </w:p>
    <w:p>
      <w:pPr>
        <w:pStyle w:val="Heading1"/>
        <w:keepNext/>
      </w:pPr>
      <w:r>
        <w:t xml:space="preserve">10. Frequently asked questions</w:t>
      </w:r>
    </w:p>
    <w:p>
      <w:pPr>
        <w:pStyle w:val="Heading3"/>
        <w:keepNext/>
      </w:pPr>
      <w:r>
        <w:t xml:space="preserve">When should Consent to Establish be started?</w:t>
      </w:r>
    </w:p>
    <w:p>
      <w:pPr>
        <w:pStyle w:val="Normal"/>
      </w:pPr>
      <w:r>
        <w:t xml:space="preserve">Start before construction, installation or expansion. The site, process, investment, raw materials, water balance, emissions, effluent, waste and pollution-control plan should be aligned before the application is filed and before works begin.</w:t>
      </w:r>
    </w:p>
    <w:p>
      <w:pPr>
        <w:pStyle w:val="Heading3"/>
        <w:keepNext/>
      </w:pPr>
      <w:r>
        <w:t xml:space="preserve">What is needed for Consent to Operate or renewal?</w:t>
      </w:r>
    </w:p>
    <w:p>
      <w:pPr>
        <w:pStyle w:val="Normal"/>
      </w:pPr>
      <w:r>
        <w:t xml:space="preserve">Share the approved project and consent documents, production or operation details, actual pollution-control systems, monitoring and laboratory records, waste records, previous conditions, compliance status and any proposed change in activity or capacity.</w:t>
      </w:r>
    </w:p>
    <w:p>
      <w:pPr>
        <w:pStyle w:val="Heading3"/>
        <w:keepNext/>
      </w:pPr>
      <w:r>
        <w:t xml:space="preserve">Which industries need MPCB consent?</w:t>
      </w:r>
    </w:p>
    <w:p>
      <w:pPr>
        <w:pStyle w:val="Normal"/>
      </w:pPr>
      <w:r>
        <w:t xml:space="preserve">The route depends on the activity and its potential to discharge sewage or trade effluent, emit air pollutants, generate or handle regulated waste, or otherwise fall within the Board’s consent or authorization framework. Category and documentation are confirmed against the current MPCB/CPCB directions for the site and sector.</w:t>
      </w:r>
    </w:p>
    <w:p>
      <w:pPr>
        <w:pStyle w:val="Heading3"/>
        <w:keepNext/>
      </w:pPr>
      <w:r>
        <w:t xml:space="preserve">How long is an MPCB consent valid?</w:t>
      </w:r>
    </w:p>
    <w:p>
      <w:pPr>
        <w:pStyle w:val="Normal"/>
      </w:pPr>
      <w:r>
        <w:t xml:space="preserve">Validity is not a universal fixed number. It depends on the consent type, category, sector, project stage, consent order and current Board directions. The issued order is the controlling document, and renewal should be planned before its expiry.</w:t>
      </w:r>
    </w:p>
    <w:p>
      <w:pPr>
        <w:pStyle w:val="Heading3"/>
        <w:keepNext/>
      </w:pPr>
      <w:r>
        <w:t xml:space="preserve">Can ACE issue the MPCB consent or environmental clearance?</w:t>
      </w:r>
    </w:p>
    <w:p>
      <w:pPr>
        <w:pStyle w:val="Normal"/>
      </w:pPr>
      <w:r>
        <w:t xml:space="preserve">No. ACE can prepare technical inputs, coordinate monitoring and laboratory evidence, support the application, answer queries and maintain compliance records. The competent authority issues the consent or approval, while the project proponent and appointed qualified or recognized consultant retain their statutory responsibilities.</w:t>
      </w:r>
    </w:p>
    <w:p>
      <w:pPr>
        <w:pStyle w:val="Heading1"/>
        <w:keepNext/>
      </w:pPr>
      <w:r>
        <w:t xml:space="preserve">11. Suggested copyright-free image direction</w:t>
      </w:r>
    </w:p>
    <w:p>
      <w:pPr>
        <w:pStyle w:val="Normal"/>
      </w:pPr>
      <w:r>
        <w:t xml:space="preserve">Use original photography or verify the individual licence before publishing. Unsplash and Pexels are useful search sources, but the licence of the exact asset should still be checked.</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900"/>
        <w:gridCol w:w="7000"/>
      </w:tblGrid>
      <w:tr>
        <w:tc>
          <w:tcPr>
            <w:tcW w:w="2900" w:type="dxa"/>
            <w:shd w:fill="193B4A"/>
          </w:tcPr>
          <w:p>
            <w:pPr>
              <w:pStyle w:val="TableHeader"/>
            </w:pPr>
            <w:r>
              <w:rPr>
                <w:color w:val="FFFFFF"/>
              </w:rPr>
              <w:t xml:space="preserve">Image subject</w:t>
            </w:r>
          </w:p>
        </w:tc>
        <w:tc>
          <w:tcPr>
            <w:tcW w:w="7000" w:type="dxa"/>
            <w:shd w:fill="193B4A"/>
          </w:tcPr>
          <w:p>
            <w:pPr>
              <w:pStyle w:val="TableHeader"/>
            </w:pPr>
            <w:r>
              <w:rPr>
                <w:color w:val="FFFFFF"/>
              </w:rPr>
              <w:t xml:space="preserve">Description and search keywords</w:t>
            </w:r>
          </w:p>
        </w:tc>
      </w:tr>
      <w:tr>
        <w:tc>
          <w:tcPr>
            <w:tcW w:w="2900" w:type="dxa"/>
          </w:tcPr>
          <w:p>
            <w:pPr>
              <w:pStyle w:val="TableText"/>
            </w:pPr>
            <w:r>
              <w:rPr>
                <w:color w:val="25323A"/>
              </w:rPr>
              <w:t xml:space="preserve">Environmental compliance checklist before operation</w:t>
            </w:r>
          </w:p>
        </w:tc>
        <w:tc>
          <w:tcPr>
            <w:tcW w:w="7000" w:type="dxa"/>
          </w:tcPr>
          <w:p>
            <w:pPr>
              <w:pStyle w:val="TableText"/>
            </w:pPr>
            <w:r>
              <w:rPr>
                <w:color w:val="25323A"/>
              </w:rPr>
              <w:t xml:space="preserve">A compliance professional reviewing an industrial consent checklist with process, waste, pollution-control and monitoring evidence; keep all client data fictional or unreadable. Search keywords: MPCB consent compliance checklist industrial unit India</w:t>
            </w:r>
          </w:p>
        </w:tc>
      </w:tr>
      <w:tr>
        <w:tc>
          <w:tcPr>
            <w:tcW w:w="2900" w:type="dxa"/>
          </w:tcPr>
          <w:p>
            <w:pPr>
              <w:pStyle w:val="TableText"/>
            </w:pPr>
            <w:r>
              <w:rPr>
                <w:color w:val="25323A"/>
              </w:rPr>
              <w:t xml:space="preserve">Water and effluent sampling</w:t>
            </w:r>
          </w:p>
        </w:tc>
        <w:tc>
          <w:tcPr>
            <w:tcW w:w="7000" w:type="dxa"/>
          </w:tcPr>
          <w:p>
            <w:pPr>
              <w:pStyle w:val="TableText"/>
            </w:pPr>
            <w:r>
              <w:rPr>
                <w:color w:val="25323A"/>
              </w:rPr>
              <w:t xml:space="preserve">A field sampler collecting a labelled surface-water or effluent sample with chain-of-custody materials and safe access controls visible. Search keywords: environmental water sampling India effluent monitoring field</w:t>
            </w:r>
          </w:p>
        </w:tc>
      </w:tr>
      <w:tr>
        <w:tc>
          <w:tcPr>
            <w:tcW w:w="2900" w:type="dxa"/>
          </w:tcPr>
          <w:p>
            <w:pPr>
              <w:pStyle w:val="TableText"/>
            </w:pPr>
            <w:r>
              <w:rPr>
                <w:color w:val="25323A"/>
              </w:rPr>
              <w:t xml:space="preserve">Stack-emission monitoring and pollution control</w:t>
            </w:r>
          </w:p>
        </w:tc>
        <w:tc>
          <w:tcPr>
            <w:tcW w:w="7000" w:type="dxa"/>
          </w:tcPr>
          <w:p>
            <w:pPr>
              <w:pStyle w:val="TableText"/>
            </w:pPr>
            <w:r>
              <w:rPr>
                <w:color w:val="25323A"/>
              </w:rPr>
              <w:t xml:space="preserve">An industrial stack or emission-control system used as a visual cue for source monitoring, compliance review and pollution-control planning; visible smoke alone does not prove a violation. Search keywords: industrial stack emission monitoring pollution control India</w:t>
            </w:r>
          </w:p>
        </w:tc>
      </w:tr>
    </w:tbl>
    <w:p>
      <w:pPr>
        <w:pStyle w:val="Heading1"/>
        <w:keepNext/>
      </w:pPr>
      <w:r>
        <w:t xml:space="preserve">12. Official source register</w:t>
      </w:r>
    </w:p>
    <w:p>
      <w:pPr>
        <w:pStyle w:val="Normal"/>
      </w:pPr>
      <w:r>
        <w:t xml:space="preserve">The source families below should be checked against the latest official publication, notification or portal before using this guide for a tender, regulatory submission or contractual commitment.</w:t>
      </w:r>
    </w:p>
    <w:p>
      <w:pPr>
        <w:pStyle w:val="Small"/>
      </w:pPr>
      <w:r>
        <w:t xml:space="preserve">Ministry of Environment, Forest and Climate Change: https://moef.gov.in/</w:t>
      </w:r>
    </w:p>
    <w:p>
      <w:pPr>
        <w:pStyle w:val="Small"/>
      </w:pPr>
      <w:r>
        <w:t xml:space="preserve">PARIVESH: https://parivesh.nic.in/</w:t>
      </w:r>
    </w:p>
    <w:p>
      <w:pPr>
        <w:pStyle w:val="Small"/>
      </w:pPr>
      <w:r>
        <w:t xml:space="preserve">Central Pollution Control Board: https://cpcb.nic.in/</w:t>
      </w:r>
    </w:p>
    <w:p>
      <w:pPr>
        <w:pStyle w:val="Small"/>
      </w:pPr>
      <w:r>
        <w:t xml:space="preserve">CPCB effluent and emission standards: https://cpcb.nic.in/effluent-emission/</w:t>
      </w:r>
    </w:p>
    <w:p>
      <w:pPr>
        <w:pStyle w:val="Small"/>
      </w:pPr>
      <w:r>
        <w:t xml:space="preserve">Maharashtra Pollution Control Board: https://www.mpcb.gov.in/</w:t>
      </w:r>
    </w:p>
    <w:p>
      <w:pPr>
        <w:pStyle w:val="Small"/>
      </w:pPr>
      <w:r>
        <w:t xml:space="preserve">MPCB consent management: https://www.mpcb.gov.in/consent-management</w:t>
      </w:r>
    </w:p>
    <w:p>
      <w:pPr>
        <w:pStyle w:val="Small"/>
      </w:pPr>
      <w:r>
        <w:t xml:space="preserve">NABL: https://nabl-india.org/</w:t>
      </w:r>
    </w:p>
    <w:p>
      <w:pPr>
        <w:pStyle w:val="Heading1"/>
        <w:keepNext/>
      </w:pPr>
      <w:r>
        <w:t xml:space="preserve">13. Conclusion</w:t>
      </w:r>
    </w:p>
    <w:p>
      <w:pPr>
        <w:pStyle w:val="Normal"/>
      </w:pPr>
      <w:r>
        <w:t xml:space="preserve">MPCB consent work is strongest when the project described in the application, consent order, monitoring record and operating site is the same project. Good technical records make that comparison possible.</w:t>
      </w:r>
    </w:p>
    <w:p>
      <w:pPr>
        <w:pStyle w:val="Normal"/>
      </w:pPr>
      <w:r>
        <w:t xml:space="preserve">Before appointment, the client should confirm the site jurisdiction, activity and capacity, consent stage, category, current authority directions, monitoring period, laboratory pathway, qualified consultant, report format and responsibility for implementing conditions.</w:t>
      </w:r>
    </w:p>
    <w:sectPr>
      <w:headerReference xmlns:r="http://schemas.openxmlformats.org/officeDocument/2006/relationships" w:type="default" r:id="rId4"/>
      <w:footerReference xmlns:r="http://schemas.openxmlformats.org/officeDocument/2006/relationships" w:type="default" r:id="rId5"/>
      <w:pgSz w:w="11906" w:h="16838"/>
      <w:pgMar w:top="1080" w:right="1080" w:bottom="1080" w:left="1080" w:header="540" w:footer="54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rPr>
        <w:color w:val="6B7478"/>
        <w:sz w:val="16"/>
        <w:szCs w:val="16"/>
      </w:rPr>
      <w:t xml:space="preserve">ACE  |  Detailed service guide  |  </w:t>
    </w:r>
    <w:fldSimple w:instr="PAGE">
      <w:r>
        <w:rPr>
          <w:color w:val="6B7478"/>
          <w:sz w:val="16"/>
        </w:rPr>
      </w:r>
    </w:fldSimple>
  </w:p>
</w:ftr>
</file>

<file path=word/header1.xml><?xml version="1.0" encoding="utf-8"?>
<w:hdr xmlns:w="http://schemas.openxmlformats.org/wordprocessingml/2006/main">
  <w:p>
    <w:pPr>
      <w:pStyle w:val="Header"/>
    </w:pPr>
    <w:r>
      <w:rPr>
        <w:b/>
        <w:color w:val="193B4A"/>
        <w:sz w:val="18"/>
        <w:szCs w:val="18"/>
      </w:rPr>
      <w:t xml:space="preserve">ACE  |  Anay Consultants &amp; Engineers</w:t>
    </w:r>
    <w:r>
      <w:rPr>
        <w:color w:val="8A5A2B"/>
        <w:sz w:val="16"/>
        <w:szCs w:val="16"/>
      </w:rPr>
      <w:t xml:space="preserve">  •  Engineering Data You Can Build On.</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20" w:hanging="220"/>
      </w:pPr>
      <w:rPr>
        <w:rFonts w:ascii="Arial" w:hAnsi="Arial"/>
      </w:rPr>
    </w:lvl>
  </w:abstractNum>
  <w:abstractNum w:abstractNumId="1">
    <w:multiLevelType w:val="singleLevel"/>
    <w:lvl w:ilvl="0">
      <w:start w:val="1"/>
      <w:numFmt w:val="decimal"/>
      <w:lvlText w:val="%1."/>
      <w:lvlJc w:val="left"/>
      <w:pPr>
        <w:ind w:left="420" w:hanging="220"/>
      </w:pPr>
    </w:lvl>
  </w:abstractNum>
  <w:num w:numId="1">
    <w:abstractNumId w:val="0"/>
  </w:num>
  <w:num w:numId="2">
    <w:abstractNumId w:val="1"/>
  </w:num>
</w:numbering>
</file>

<file path=word/settings.xml><?xml version="1.0" encoding="utf-8"?>
<w:settings xmlns:w="http://schemas.openxmlformats.org/wordprocessingml/2006/main">
  <w:zoom w:percent="100"/>
  <w:defaultTabStop w:val="720"/>
  <w:themeFontLang w:val="en-IN"/>
  <w:compat/>
  <w:doNotTrackFormatting/>
</w:settings>
</file>

<file path=word/styles.xml><?xml version="1.0" encoding="utf-8"?>
<w:styles xmlns:w="http://schemas.openxmlformats.org/wordprocessingml/2006/main">
  <w:docDefaults>
    <w:rPrDefault>
      <w:rPr>
        <w:rFonts w:ascii="Aptos" w:hAnsi="Aptos"/>
        <w:sz w:val="22"/>
        <w:szCs w:val="22"/>
        <w:color w:val="25323A"/>
      </w:rPr>
    </w:rPrDefault>
    <w:pPrDefault>
      <w:pPr>
        <w:spacing w:after="140" w:line="276" w:lineRule="auto"/>
      </w:pPr>
    </w:pPrDefault>
  </w:docDefaults>
  <w:style w:type="paragraph" w:default="1" w:styleId="Normal">
    <w:name w:val="Normal"/>
    <w:qFormat/>
  </w:style>
  <w:style w:type="paragraph" w:styleId="Title">
    <w:name w:val="Title"/>
    <w:basedOn w:val="Normal"/>
    <w:next w:val="Subtitle"/>
    <w:qFormat/>
    <w:pPr>
      <w:jc w:val="left"/>
      <w:spacing w:before="480" w:after="180"/>
    </w:pPr>
    <w:rPr>
      <w:rFonts w:ascii="Aptos Display" w:hAnsi="Aptos Display"/>
      <w:b/>
      <w:sz w:val="48"/>
      <w:szCs w:val="48"/>
      <w:color w:val="193B4A"/>
    </w:rPr>
  </w:style>
  <w:style w:type="paragraph" w:styleId="Subtitle">
    <w:name w:val="Subtitle"/>
    <w:basedOn w:val="Normal"/>
    <w:qFormat/>
    <w:pPr>
      <w:spacing w:after="300"/>
    </w:pPr>
    <w:rPr>
      <w:sz w:val="26"/>
      <w:szCs w:val="26"/>
      <w:color w:val="8A5A2B"/>
    </w:rPr>
  </w:style>
  <w:style w:type="paragraph" w:styleId="Heading1">
    <w:name w:val="heading 1"/>
    <w:basedOn w:val="Normal"/>
    <w:next w:val="Normal"/>
    <w:qFormat/>
    <w:pPr>
      <w:keepNext/>
      <w:outlineLvl w:val="0"/>
      <w:spacing w:before="420" w:after="140"/>
    </w:pPr>
    <w:rPr>
      <w:rFonts w:ascii="Aptos Display" w:hAnsi="Aptos Display"/>
      <w:b/>
      <w:sz w:val="31"/>
      <w:szCs w:val="31"/>
      <w:color w:val="193B4A"/>
    </w:rPr>
  </w:style>
  <w:style w:type="paragraph" w:styleId="Heading2">
    <w:name w:val="heading 2"/>
    <w:basedOn w:val="Normal"/>
    <w:next w:val="Normal"/>
    <w:qFormat/>
    <w:pPr>
      <w:keepNext/>
      <w:spacing w:before="260" w:after="100"/>
    </w:pPr>
    <w:rPr>
      <w:b/>
      <w:sz w:val="25"/>
      <w:szCs w:val="25"/>
      <w:color w:val="8A5A2B"/>
    </w:rPr>
  </w:style>
  <w:style w:type="paragraph" w:styleId="Heading3">
    <w:name w:val="heading 3"/>
    <w:basedOn w:val="Normal"/>
    <w:next w:val="Normal"/>
    <w:qFormat/>
    <w:pPr>
      <w:keepNext/>
      <w:spacing w:before="180" w:after="80"/>
    </w:pPr>
    <w:rPr>
      <w:b/>
      <w:sz w:val="22"/>
      <w:szCs w:val="22"/>
      <w:color w:val="193B4A"/>
    </w:rPr>
  </w:style>
  <w:style w:type="paragraph" w:styleId="ListParagraph">
    <w:name w:val="List Paragraph"/>
    <w:basedOn w:val="Normal"/>
    <w:pPr>
      <w:ind w:left="420" w:hanging="220"/>
      <w:spacing w:after="80"/>
    </w:pPr>
  </w:style>
  <w:style w:type="paragraph" w:styleId="Note">
    <w:name w:val="ACE Note"/>
    <w:basedOn w:val="Normal"/>
    <w:pPr>
      <w:shd w:fill="F4EBDD"/>
      <w:ind w:left="180" w:right="180"/>
      <w:spacing w:before="160" w:after="180"/>
    </w:pPr>
    <w:rPr>
      <w:sz w:val="20"/>
      <w:szCs w:val="20"/>
    </w:rPr>
  </w:style>
  <w:style w:type="paragraph" w:styleId="Small">
    <w:name w:val="Small"/>
    <w:basedOn w:val="Normal"/>
    <w:pPr>
      <w:spacing w:after="70"/>
    </w:pPr>
    <w:rPr>
      <w:sz w:val="18"/>
      <w:szCs w:val="18"/>
      <w:color w:val="5A6469"/>
    </w:rPr>
  </w:style>
  <w:style w:type="paragraph" w:styleId="TableText">
    <w:name w:val="Table Text"/>
    <w:basedOn w:val="Normal"/>
    <w:pPr>
      <w:spacing w:after="50" w:line="240" w:lineRule="auto"/>
    </w:pPr>
    <w:rPr>
      <w:sz w:val="18"/>
      <w:szCs w:val="18"/>
    </w:rPr>
  </w:style>
  <w:style w:type="paragraph" w:styleId="TableHeader">
    <w:name w:val="Table Header"/>
    <w:basedOn w:val="Normal"/>
    <w:pPr>
      <w:spacing w:after="50"/>
    </w:pPr>
    <w:rPr>
      <w:b/>
      <w:sz w:val="18"/>
      <w:szCs w:val="18"/>
      <w:color w:val="FFFFFF"/>
    </w:rPr>
  </w:style>
  <w:style w:type="paragraph" w:styleId="Header">
    <w:name w:val="Header"/>
    <w:basedOn w:val="Normal"/>
    <w:pPr>
      <w:pBdr>
        <w:bottom w:val="single" w:sz="6" w:space="6" w:color="D8D1C5"/>
      </w:pBdr>
      <w:spacing w:after="80"/>
    </w:pPr>
  </w:style>
  <w:style w:type="paragraph" w:styleId="Footer">
    <w:name w:val="Footer"/>
    <w:basedOn w:val="Normal"/>
    <w:pPr>
      <w:pBdr>
        <w:top w:val="single" w:sz="6" w:space="6" w:color="D8D1C5"/>
      </w:pBdr>
      <w:jc w:val="right"/>
    </w:pPr>
  </w:style>
  <w:style w:type="table" w:styleId="GuideTable">
    <w:name w:val="ACE Guide Table"/>
    <w:basedOn w:val="TableNormal"/>
    <w:tblPr>
      <w:tblCellMar>
        <w:top w:w="110" w:type="dxa"/>
        <w:start w:w="110" w:type="dxa"/>
        <w:bottom w:w="110" w:type="dxa"/>
        <w:end w:w="11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ACE Service Guide Generator</Application>
  <DocSecurity>0</DocSecurity>
  <ScaleCrop>false</ScaleCrop>
  <HeadingPairs/>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Services &amp; MPCB Consent Support</dc:title>
  <dc:creator>Anay Consultants &amp; Engineers</dc:creator>
  <cp:lastModifiedBy>ACE Technical Desk</cp:lastModifiedBy>
  <dcterms:created xsi:type="dcterms:W3CDTF">2026-10-17T00:00:00Z</dcterms:created>
  <dcterms:modified xsi:type="dcterms:W3CDTF">2026-10-17T00:00:00Z</dcterms:modified>
</cp:coreProperties>
</file>