
<file path=[Content_Types].xml><?xml version="1.0" encoding="utf-8"?>
<Types xmlns="http://schemas.openxmlformats.org/package/2006/content-types">
  <Default Extension="rels" ContentType="application/vnd.openxml-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Small"/>
      </w:pPr>
      <w:r>
        <w:rPr>
          <w:b/>
          <w:color w:val="8A5A2B"/>
        </w:rPr>
        <w:t xml:space="preserve">ANAY CONSULTANTS &amp; ENGINEERS</w:t>
      </w:r>
      <w:r>
        <w:rPr>
          <w:color w:val="8A5A2B"/>
        </w:rPr>
        <w:t xml:space="preserve"/>
      </w:r>
    </w:p>
    <w:p>
      <w:pPr>
        <w:pStyle w:val="Small"/>
      </w:pPr>
      <w:r>
        <w:rPr>
          <w:color w:val="5A6469"/>
        </w:rPr>
        <w:t xml:space="preserve">01  |  ACE SERVICE GUIDE</w:t>
      </w:r>
    </w:p>
    <w:p>
      <w:pPr>
        <w:pStyle w:val="Title"/>
      </w:pPr>
      <w:r>
        <w:t xml:space="preserve">Engineering, DPR &amp; Turnkey Consultancy</w:t>
      </w:r>
    </w:p>
    <w:p>
      <w:pPr>
        <w:pStyle w:val="Subtitle"/>
      </w:pPr>
      <w:r>
        <w:t xml:space="preserve">From reconnaissance to DPR, design, procurement support and PMC — engineering that can be built, billed and audited.</w:t>
      </w:r>
    </w:p>
    <w:p>
      <w:pPr>
        <w:pStyle w:val="Small"/>
      </w:pPr>
      <w:r>
        <w:t xml:space="preserve">Prepared for service communication, technical briefing and project scoping</w:t>
      </w:r>
    </w:p>
    <w:p>
      <w:pPr>
        <w:pStyle w:val="Small"/>
      </w:pPr>
      <w:r>
        <w:t xml:space="preserve">Version 1.0  |  17 October 2026  |  Indore, Madhya Pradesh</w:t>
      </w:r>
    </w:p>
    <w:p>
      <w:pPr>
        <w:pStyle w:val="Note"/>
      </w:pPr>
      <w:r>
        <w:rPr>
          <w:b/>
          <w:color w:val="8A5A2B"/>
        </w:rPr>
        <w:t>Important: </w:t>
      </w:r>
      <w:r>
        <w:rPr>
          <w:i/>
          <w:color w:val="5A4635"/>
        </w:rPr>
        <w:t xml:space="preserve">This guide is a detailed service description, not a statutory approval, accreditation certificate, legal opinion or guarantee of project outcome. Applicable standards, permissions, accreditation scope and deliverables must be confirmed for the specific assignment.</w:t>
      </w:r>
    </w:p>
    <w:p>
      <w:pPr>
        <w:pStyle w:val="Normal"/>
      </w:pPr>
      <w:r>
        <w:br w:type="page"/>
      </w:r>
    </w:p>
    <w:p>
      <w:pPr>
        <w:pStyle w:val="Heading1"/>
        <w:keepNext/>
      </w:pPr>
      <w:r>
        <w:t xml:space="preserve">1. Service overview</w:t>
      </w:r>
    </w:p>
    <w:p>
      <w:pPr>
        <w:pStyle w:val="Normal"/>
      </w:pPr>
      <w:r>
        <w:t xml:space="preserve">Engineering consultancy is most useful when the survey, design, quantity, quality and construction records agree with one another. ACE coordinates these technical inputs through its specialist network so that owners, public agencies, EPC contractors and PMCs can work from one project basis.</w:t>
      </w:r>
    </w:p>
    <w:p>
      <w:pPr>
        <w:pStyle w:val="Normal"/>
      </w:pPr>
      <w:r>
        <w:t xml:space="preserve">The service covers feasibility and reconnaissance, Detailed Project Reports, civil and structural design coordination, quantities and estimates, tender support, peer review, owner’s-engineer or PMC support, and construction-stage technical assistance. The exact assignment is set by the employer’s requirements, authority format, contract and available project information.</w:t>
      </w:r>
    </w:p>
    <w:p>
      <w:pPr>
        <w:pStyle w:val="Normal"/>
      </w:pPr>
      <w:r>
        <w:t xml:space="preserve">The objective is not to create a larger report. It is to create a decision-ready technical file: clear assumptions, traceable measurements, coordinated drawings, usable quantities, and a defined path from concept to implementation.</w:t>
      </w:r>
    </w:p>
    <w:p>
      <w:pPr>
        <w:pStyle w:val="Heading1"/>
        <w:keepNext/>
      </w:pPr>
      <w:r>
        <w:t xml:space="preserve">2. Scope of work</w:t>
      </w:r>
    </w:p>
    <w:p>
      <w:pPr>
        <w:pStyle w:val="Normal"/>
      </w:pPr>
      <w:r>
        <w:t xml:space="preserve">Work may begin with a project brief, site reconnaissance or a review of an incomplete package. The team identifies the project objective, land and utility constraints, existing survey and geotechnical information, authority requirements, procurement route, programme and decision gates.</w:t>
      </w:r>
    </w:p>
    <w:p>
      <w:pPr>
        <w:pStyle w:val="Normal"/>
      </w:pPr>
      <w:r>
        <w:t xml:space="preserve">The scope can then progress through option development, feasibility or pre-feasibility analysis, concept design, preliminary and detailed design, cost estimation, BOQ preparation, bid documentation, technical clarifications, construction-stage review, measurement and handover support.</w:t>
      </w:r>
    </w:p>
    <w:p>
      <w:pPr>
        <w:pStyle w:val="Normal"/>
      </w:pPr>
      <w:r>
        <w:t xml:space="preserve">Survey and laboratory inputs are coordinated into the design basis where they are part of the assignment. A design, DPR or estimate should not be treated as final until the relevant assumptions, approvals, design checks, client decisions and project-specific specifications have been confirmed.</w:t>
      </w:r>
    </w:p>
    <w:p>
      <w:pPr>
        <w:pStyle w:val="Heading1"/>
        <w:keepNext/>
      </w:pPr>
      <w:r>
        <w:t xml:space="preserve">3. Detailed service components</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3000"/>
        <w:gridCol w:w="6900"/>
      </w:tblGrid>
      <w:tr>
        <w:tc>
          <w:tcPr>
            <w:tcW w:w="3000" w:type="dxa"/>
            <w:shd w:fill="193B4A"/>
          </w:tcPr>
          <w:p>
            <w:pPr>
              <w:pStyle w:val="TableHeader"/>
            </w:pPr>
            <w:r>
              <w:rPr>
                <w:color w:val="FFFFFF"/>
              </w:rPr>
              <w:t xml:space="preserve">Service component</w:t>
            </w:r>
          </w:p>
        </w:tc>
        <w:tc>
          <w:tcPr>
            <w:tcW w:w="6900" w:type="dxa"/>
            <w:shd w:fill="193B4A"/>
          </w:tcPr>
          <w:p>
            <w:pPr>
              <w:pStyle w:val="TableHeader"/>
            </w:pPr>
            <w:r>
              <w:rPr>
                <w:color w:val="FFFFFF"/>
              </w:rPr>
              <w:t xml:space="preserve">What the assignment may include</w:t>
            </w:r>
          </w:p>
        </w:tc>
      </w:tr>
      <w:tr>
        <w:tc>
          <w:tcPr>
            <w:tcW w:w="3000" w:type="dxa"/>
          </w:tcPr>
          <w:p>
            <w:pPr>
              <w:pStyle w:val="TableText"/>
            </w:pPr>
            <w:r>
              <w:rPr>
                <w:color w:val="25323A"/>
              </w:rPr>
              <w:t xml:space="preserve">Feasibility and reconnaissance</w:t>
            </w:r>
          </w:p>
        </w:tc>
        <w:tc>
          <w:tcPr>
            <w:tcW w:w="6900" w:type="dxa"/>
          </w:tcPr>
          <w:p>
            <w:pPr>
              <w:pStyle w:val="TableText"/>
            </w:pPr>
            <w:r>
              <w:rPr>
                <w:color w:val="25323A"/>
              </w:rPr>
              <w:t xml:space="preserve">Review the brief, site, access, land, utilities, constraints, options, preliminary risks and information gaps. Field reconnaissance is not a substitute for a detailed survey or investigation unless specifically included.</w:t>
            </w:r>
          </w:p>
        </w:tc>
      </w:tr>
      <w:tr>
        <w:tc>
          <w:tcPr>
            <w:tcW w:w="3000" w:type="dxa"/>
          </w:tcPr>
          <w:p>
            <w:pPr>
              <w:pStyle w:val="TableText"/>
            </w:pPr>
            <w:r>
              <w:rPr>
                <w:color w:val="25323A"/>
              </w:rPr>
              <w:t xml:space="preserve">DPR and feasibility reports</w:t>
            </w:r>
          </w:p>
        </w:tc>
        <w:tc>
          <w:tcPr>
            <w:tcW w:w="6900" w:type="dxa"/>
          </w:tcPr>
          <w:p>
            <w:pPr>
              <w:pStyle w:val="TableText"/>
            </w:pPr>
            <w:r>
              <w:rPr>
                <w:color w:val="25323A"/>
              </w:rPr>
              <w:t xml:space="preserve">Prepare a structured project basis covering need, site context, options, design criteria, implementation approach, quantities, cost basis, programme, risks and approval interfaces.</w:t>
            </w:r>
          </w:p>
        </w:tc>
      </w:tr>
      <w:tr>
        <w:tc>
          <w:tcPr>
            <w:tcW w:w="3000" w:type="dxa"/>
          </w:tcPr>
          <w:p>
            <w:pPr>
              <w:pStyle w:val="TableText"/>
            </w:pPr>
            <w:r>
              <w:rPr>
                <w:color w:val="25323A"/>
              </w:rPr>
              <w:t xml:space="preserve">Civil and structural design coordination</w:t>
            </w:r>
          </w:p>
        </w:tc>
        <w:tc>
          <w:tcPr>
            <w:tcW w:w="6900" w:type="dxa"/>
          </w:tcPr>
          <w:p>
            <w:pPr>
              <w:pStyle w:val="TableText"/>
            </w:pPr>
            <w:r>
              <w:rPr>
                <w:color w:val="25323A"/>
              </w:rPr>
              <w:t xml:space="preserve">Coordinate drawings, calculations, design criteria, survey control, material assumptions and specialist inputs for roads, buildings, industrial civil works, water resources and related infrastructure where included.</w:t>
            </w:r>
          </w:p>
        </w:tc>
      </w:tr>
      <w:tr>
        <w:tc>
          <w:tcPr>
            <w:tcW w:w="3000" w:type="dxa"/>
          </w:tcPr>
          <w:p>
            <w:pPr>
              <w:pStyle w:val="TableText"/>
            </w:pPr>
            <w:r>
              <w:rPr>
                <w:color w:val="25323A"/>
              </w:rPr>
              <w:t xml:space="preserve">Quantities, estimates and bid engineering</w:t>
            </w:r>
          </w:p>
        </w:tc>
        <w:tc>
          <w:tcPr>
            <w:tcW w:w="6900" w:type="dxa"/>
          </w:tcPr>
          <w:p>
            <w:pPr>
              <w:pStyle w:val="TableText"/>
            </w:pPr>
            <w:r>
              <w:rPr>
                <w:color w:val="25323A"/>
              </w:rPr>
              <w:t xml:space="preserve">Develop quantity take-offs, BOQs, cost estimates, rate analysis, technical specifications, schedules and clarification responses against the adopted procurement and authority format.</w:t>
            </w:r>
          </w:p>
        </w:tc>
      </w:tr>
      <w:tr>
        <w:tc>
          <w:tcPr>
            <w:tcW w:w="3000" w:type="dxa"/>
          </w:tcPr>
          <w:p>
            <w:pPr>
              <w:pStyle w:val="TableText"/>
            </w:pPr>
            <w:r>
              <w:rPr>
                <w:color w:val="25323A"/>
              </w:rPr>
              <w:t xml:space="preserve">Design review and constructability</w:t>
            </w:r>
          </w:p>
        </w:tc>
        <w:tc>
          <w:tcPr>
            <w:tcW w:w="6900" w:type="dxa"/>
          </w:tcPr>
          <w:p>
            <w:pPr>
              <w:pStyle w:val="TableText"/>
            </w:pPr>
            <w:r>
              <w:rPr>
                <w:color w:val="25323A"/>
              </w:rPr>
              <w:t xml:space="preserve">Check interfaces, build sequence, access, drainage, material availability, measurement logic and maintainability; identify coordination issues before they become site variations.</w:t>
            </w:r>
          </w:p>
        </w:tc>
      </w:tr>
      <w:tr>
        <w:tc>
          <w:tcPr>
            <w:tcW w:w="3000" w:type="dxa"/>
          </w:tcPr>
          <w:p>
            <w:pPr>
              <w:pStyle w:val="TableText"/>
            </w:pPr>
            <w:r>
              <w:rPr>
                <w:color w:val="25323A"/>
              </w:rPr>
              <w:t xml:space="preserve">PMC and owner’s-engineer support</w:t>
            </w:r>
          </w:p>
        </w:tc>
        <w:tc>
          <w:tcPr>
            <w:tcW w:w="6900" w:type="dxa"/>
          </w:tcPr>
          <w:p>
            <w:pPr>
              <w:pStyle w:val="TableText"/>
            </w:pPr>
            <w:r>
              <w:rPr>
                <w:color w:val="25323A"/>
              </w:rPr>
              <w:t xml:space="preserve">Support submittal review, RFIs, technical meetings, progress evidence, measurement discussions, variations, quality records and close-out within the role defined by the contract.</w:t>
            </w:r>
          </w:p>
        </w:tc>
      </w:tr>
      <w:tr>
        <w:tc>
          <w:tcPr>
            <w:tcW w:w="3000" w:type="dxa"/>
          </w:tcPr>
          <w:p>
            <w:pPr>
              <w:pStyle w:val="TableText"/>
            </w:pPr>
            <w:r>
              <w:rPr>
                <w:color w:val="25323A"/>
              </w:rPr>
              <w:t xml:space="preserve">Handover and technical close-out</w:t>
            </w:r>
          </w:p>
        </w:tc>
        <w:tc>
          <w:tcPr>
            <w:tcW w:w="6900" w:type="dxa"/>
          </w:tcPr>
          <w:p>
            <w:pPr>
              <w:pStyle w:val="TableText"/>
            </w:pPr>
            <w:r>
              <w:rPr>
                <w:color w:val="25323A"/>
              </w:rPr>
              <w:t xml:space="preserve">Coordinate as-built information, test records, warranties, operation inputs, punch-list closure and the final technical file where these deliverables are included.</w:t>
            </w:r>
          </w:p>
        </w:tc>
      </w:tr>
    </w:tbl>
    <w:p>
      <w:pPr>
        <w:pStyle w:val="Heading1"/>
        <w:keepNext/>
      </w:pPr>
      <w:r>
        <w:t xml:space="preserve">4. Standards, codes and government guidance</w:t>
      </w:r>
    </w:p>
    <w:p>
      <w:pPr>
        <w:pStyle w:val="Normal"/>
      </w:pPr>
      <w:r>
        <w:t xml:space="preserve">The following references are commonly relevant to this service. The controlling edition, amendment, method, authority requirement and contract specification must be checked before issue or execution.</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600"/>
        <w:gridCol w:w="7300"/>
      </w:tblGrid>
      <w:tr>
        <w:tc>
          <w:tcPr>
            <w:tcW w:w="2600" w:type="dxa"/>
            <w:shd w:fill="193B4A"/>
          </w:tcPr>
          <w:p>
            <w:pPr>
              <w:pStyle w:val="TableHeader"/>
            </w:pPr>
            <w:r>
              <w:rPr>
                <w:color w:val="FFFFFF"/>
              </w:rPr>
              <w:t xml:space="preserve">Reference area</w:t>
            </w:r>
          </w:p>
        </w:tc>
        <w:tc>
          <w:tcPr>
            <w:tcW w:w="7300" w:type="dxa"/>
            <w:shd w:fill="193B4A"/>
          </w:tcPr>
          <w:p>
            <w:pPr>
              <w:pStyle w:val="TableHeader"/>
            </w:pPr>
            <w:r>
              <w:rPr>
                <w:color w:val="FFFFFF"/>
              </w:rPr>
              <w:t xml:space="preserve">Applicable references and use</w:t>
            </w:r>
          </w:p>
        </w:tc>
      </w:tr>
      <w:tr>
        <w:tc>
          <w:tcPr>
            <w:tcW w:w="2600" w:type="dxa"/>
          </w:tcPr>
          <w:p>
            <w:pPr>
              <w:pStyle w:val="TableText"/>
            </w:pPr>
            <w:r>
              <w:rPr>
                <w:color w:val="25323A"/>
              </w:rPr>
              <w:t xml:space="preserve">Employer and authority requirements</w:t>
            </w:r>
          </w:p>
        </w:tc>
        <w:tc>
          <w:tcPr>
            <w:tcW w:w="7300" w:type="dxa"/>
          </w:tcPr>
          <w:p>
            <w:pPr>
              <w:pStyle w:val="TableText"/>
            </w:pPr>
            <w:r>
              <w:rPr>
                <w:color w:val="25323A"/>
              </w:rPr>
              <w:t xml:space="preserve">Employer’s requirements, contract conditions, approved design criteria, authority submission checklists, project QAP/ITP and lender or end-user requirements.</w:t>
            </w:r>
          </w:p>
        </w:tc>
      </w:tr>
      <w:tr>
        <w:tc>
          <w:tcPr>
            <w:tcW w:w="2600" w:type="dxa"/>
          </w:tcPr>
          <w:p>
            <w:pPr>
              <w:pStyle w:val="TableText"/>
            </w:pPr>
            <w:r>
              <w:rPr>
                <w:color w:val="25323A"/>
              </w:rPr>
              <w:t xml:space="preserve">Roads and bridges</w:t>
            </w:r>
          </w:p>
        </w:tc>
        <w:tc>
          <w:tcPr>
            <w:tcW w:w="7300" w:type="dxa"/>
          </w:tcPr>
          <w:p>
            <w:pPr>
              <w:pStyle w:val="TableText"/>
            </w:pPr>
            <w:r>
              <w:rPr>
                <w:color w:val="25323A"/>
              </w:rPr>
              <w:t xml:space="preserve">Current MoRTH Specifications for Road and Bridge Works, applicable NHAI or state PWD requirements, and relevant IRC publications for geometric design, pavement, bridges and quality control.</w:t>
            </w:r>
          </w:p>
        </w:tc>
      </w:tr>
      <w:tr>
        <w:tc>
          <w:tcPr>
            <w:tcW w:w="2600" w:type="dxa"/>
          </w:tcPr>
          <w:p>
            <w:pPr>
              <w:pStyle w:val="TableText"/>
            </w:pPr>
            <w:r>
              <w:rPr>
                <w:color w:val="25323A"/>
              </w:rPr>
              <w:t xml:space="preserve">Building and structural design</w:t>
            </w:r>
          </w:p>
        </w:tc>
        <w:tc>
          <w:tcPr>
            <w:tcW w:w="7300" w:type="dxa"/>
          </w:tcPr>
          <w:p>
            <w:pPr>
              <w:pStyle w:val="TableText"/>
            </w:pPr>
            <w:r>
              <w:rPr>
                <w:color w:val="25323A"/>
              </w:rPr>
              <w:t xml:space="preserve">Applicable NBC provisions and IS codes such as IS 456, IS 800, IS 875, IS 1893, IS 13920 and IS 10262, only where the project type and design brief require them.</w:t>
            </w:r>
          </w:p>
        </w:tc>
      </w:tr>
      <w:tr>
        <w:tc>
          <w:tcPr>
            <w:tcW w:w="2600" w:type="dxa"/>
          </w:tcPr>
          <w:p>
            <w:pPr>
              <w:pStyle w:val="TableText"/>
            </w:pPr>
            <w:r>
              <w:rPr>
                <w:color w:val="25323A"/>
              </w:rPr>
              <w:t xml:space="preserve">Public-sector estimating</w:t>
            </w:r>
          </w:p>
        </w:tc>
        <w:tc>
          <w:tcPr>
            <w:tcW w:w="7300" w:type="dxa"/>
          </w:tcPr>
          <w:p>
            <w:pPr>
              <w:pStyle w:val="TableText"/>
            </w:pPr>
            <w:r>
              <w:rPr>
                <w:color w:val="25323A"/>
              </w:rPr>
              <w:t xml:space="preserve">CPWD specifications, Delhi Schedule of Rates or state schedule-of-rates documents where adopted by the client; the controlling contract method remains project-specific.</w:t>
            </w:r>
          </w:p>
        </w:tc>
      </w:tr>
      <w:tr>
        <w:tc>
          <w:tcPr>
            <w:tcW w:w="2600" w:type="dxa"/>
          </w:tcPr>
          <w:p>
            <w:pPr>
              <w:pStyle w:val="TableText"/>
            </w:pPr>
            <w:r>
              <w:rPr>
                <w:color w:val="25323A"/>
              </w:rPr>
              <w:t xml:space="preserve">Survey and testing basis</w:t>
            </w:r>
          </w:p>
        </w:tc>
        <w:tc>
          <w:tcPr>
            <w:tcW w:w="7300" w:type="dxa"/>
          </w:tcPr>
          <w:p>
            <w:pPr>
              <w:pStyle w:val="TableText"/>
            </w:pPr>
            <w:r>
              <w:rPr>
                <w:color w:val="25323A"/>
              </w:rPr>
              <w:t xml:space="preserve">Approved survey-control requirements, geotechnical recommendations, material test methods, mix-design criteria and design verification records used by the project.</w:t>
            </w:r>
          </w:p>
        </w:tc>
      </w:tr>
      <w:tr>
        <w:tc>
          <w:tcPr>
            <w:tcW w:w="2600" w:type="dxa"/>
          </w:tcPr>
          <w:p>
            <w:pPr>
              <w:pStyle w:val="TableText"/>
            </w:pPr>
            <w:r>
              <w:rPr>
                <w:color w:val="25323A"/>
              </w:rPr>
              <w:t xml:space="preserve">Current-edition control</w:t>
            </w:r>
          </w:p>
        </w:tc>
        <w:tc>
          <w:tcPr>
            <w:tcW w:w="7300" w:type="dxa"/>
          </w:tcPr>
          <w:p>
            <w:pPr>
              <w:pStyle w:val="TableText"/>
            </w:pPr>
            <w:r>
              <w:rPr>
                <w:color w:val="25323A"/>
              </w:rPr>
              <w:t xml:space="preserve">Codes, specifications, amendments and corrigenda must be checked from the issuing body before issue. A guide reference does not replace the contract’s adopted edition.</w:t>
            </w:r>
          </w:p>
        </w:tc>
      </w:tr>
    </w:tbl>
    <w:p>
      <w:pPr>
        <w:pStyle w:val="Heading1"/>
        <w:keepNext/>
      </w:pPr>
      <w:r>
        <w:t xml:space="preserve">5. Target clients and project types</w:t>
      </w:r>
    </w:p>
    <w:p>
      <w:pPr>
        <w:pStyle w:val="Normal"/>
      </w:pPr>
      <w:r>
        <w:t xml:space="preserve">This service is suited to the following client groups and project situations, subject to the agreed scope and procurement route:</w:t>
      </w:r>
    </w:p>
    <w:p>
      <w:pPr>
        <w:pStyle w:val="ListParagraph"/>
        <w:numPr>
          <w:ilvl w:val="0"/>
          <w:numId w:val="1"/>
        </w:numPr>
      </w:pPr>
      <w:r>
        <w:t xml:space="preserve">Government departments, public agencies, ULBs and infrastructure authorities.</w:t>
      </w:r>
    </w:p>
    <w:p>
      <w:pPr>
        <w:pStyle w:val="ListParagraph"/>
        <w:numPr>
          <w:ilvl w:val="0"/>
          <w:numId w:val="1"/>
        </w:numPr>
      </w:pPr>
      <w:r>
        <w:t xml:space="preserve">NHAI, state PWD, highway, bridge, irrigation and urban-infrastructure package teams.</w:t>
      </w:r>
    </w:p>
    <w:p>
      <w:pPr>
        <w:pStyle w:val="ListParagraph"/>
        <w:numPr>
          <w:ilvl w:val="0"/>
          <w:numId w:val="1"/>
        </w:numPr>
      </w:pPr>
      <w:r>
        <w:t xml:space="preserve">Project owners, developers and industrial operators planning new or expanded assets.</w:t>
      </w:r>
    </w:p>
    <w:p>
      <w:pPr>
        <w:pStyle w:val="ListParagraph"/>
        <w:numPr>
          <w:ilvl w:val="0"/>
          <w:numId w:val="1"/>
        </w:numPr>
      </w:pPr>
      <w:r>
        <w:t xml:space="preserve">EPC contractors, design-build teams and specialist civil contractors.</w:t>
      </w:r>
    </w:p>
    <w:p>
      <w:pPr>
        <w:pStyle w:val="ListParagraph"/>
        <w:numPr>
          <w:ilvl w:val="0"/>
          <w:numId w:val="1"/>
        </w:numPr>
      </w:pPr>
      <w:r>
        <w:t xml:space="preserve">PMCs, owner’s engineers, lender’s engineers and technical due-diligence teams.</w:t>
      </w:r>
    </w:p>
    <w:p>
      <w:pPr>
        <w:pStyle w:val="ListParagraph"/>
        <w:numPr>
          <w:ilvl w:val="0"/>
          <w:numId w:val="1"/>
        </w:numPr>
      </w:pPr>
      <w:r>
        <w:t xml:space="preserve">Manufacturing, logistics, energy, water and industrial-park developers.</w:t>
      </w:r>
    </w:p>
    <w:p>
      <w:pPr>
        <w:pStyle w:val="ListParagraph"/>
        <w:numPr>
          <w:ilvl w:val="0"/>
          <w:numId w:val="1"/>
        </w:numPr>
      </w:pPr>
      <w:r>
        <w:t xml:space="preserve">Clients with incomplete drawings, disconnected survey data or quantity disputes.</w:t>
      </w:r>
    </w:p>
    <w:p>
      <w:pPr>
        <w:pStyle w:val="Heading1"/>
        <w:keepNext/>
      </w:pPr>
      <w:r>
        <w:t xml:space="preserve">6. Delivery workflow</w:t>
      </w:r>
    </w:p>
    <w:p>
      <w:pPr>
        <w:pStyle w:val="Normal"/>
      </w:pPr>
      <w:r>
        <w:t xml:space="preserve">A clear brief and traceable records reduce rework. A typical engagement follows these steps:</w:t>
      </w:r>
    </w:p>
    <w:p>
      <w:pPr>
        <w:pStyle w:val="ListParagraph"/>
        <w:numPr>
          <w:ilvl w:val="0"/>
          <w:numId w:val="2"/>
        </w:numPr>
      </w:pPr>
      <w:r>
        <w:t xml:space="preserve">Receive the brief, site information, available surveys, investigations, design criteria and required submission format.</w:t>
      </w:r>
    </w:p>
    <w:p>
      <w:pPr>
        <w:pStyle w:val="ListParagraph"/>
        <w:numPr>
          <w:ilvl w:val="0"/>
          <w:numId w:val="2"/>
        </w:numPr>
      </w:pPr>
      <w:r>
        <w:t xml:space="preserve">Identify information gaps, project constraints, approval interfaces, procurement route and decision deadlines.</w:t>
      </w:r>
    </w:p>
    <w:p>
      <w:pPr>
        <w:pStyle w:val="ListParagraph"/>
        <w:numPr>
          <w:ilvl w:val="0"/>
          <w:numId w:val="2"/>
        </w:numPr>
      </w:pPr>
      <w:r>
        <w:t xml:space="preserve">Plan or coordinate reconnaissance, survey, testing and specialist inputs needed for the agreed design basis.</w:t>
      </w:r>
    </w:p>
    <w:p>
      <w:pPr>
        <w:pStyle w:val="ListParagraph"/>
        <w:numPr>
          <w:ilvl w:val="0"/>
          <w:numId w:val="2"/>
        </w:numPr>
      </w:pPr>
      <w:r>
        <w:t xml:space="preserve">Develop options or the selected technical solution with documented assumptions and review points.</w:t>
      </w:r>
    </w:p>
    <w:p>
      <w:pPr>
        <w:pStyle w:val="ListParagraph"/>
        <w:numPr>
          <w:ilvl w:val="0"/>
          <w:numId w:val="2"/>
        </w:numPr>
      </w:pPr>
      <w:r>
        <w:t xml:space="preserve">Prepare the DPR, design package, quantities, estimates, specifications and bid or implementation documents.</w:t>
      </w:r>
    </w:p>
    <w:p>
      <w:pPr>
        <w:pStyle w:val="ListParagraph"/>
        <w:numPr>
          <w:ilvl w:val="0"/>
          <w:numId w:val="2"/>
        </w:numPr>
      </w:pPr>
      <w:r>
        <w:t xml:space="preserve">Review client comments, authority queries and design interfaces, then issue controlled revisions.</w:t>
      </w:r>
    </w:p>
    <w:p>
      <w:pPr>
        <w:pStyle w:val="ListParagraph"/>
        <w:numPr>
          <w:ilvl w:val="0"/>
          <w:numId w:val="2"/>
        </w:numPr>
      </w:pPr>
      <w:r>
        <w:t xml:space="preserve">Support construction, measurement, variation, as-built and handover requirements where included in the appointment.</w:t>
      </w:r>
    </w:p>
    <w:p>
      <w:pPr>
        <w:pStyle w:val="Heading1"/>
        <w:keepNext/>
      </w:pPr>
      <w:r>
        <w:t xml:space="preserve">7. Typical deliverables</w:t>
      </w:r>
    </w:p>
    <w:p>
      <w:pPr>
        <w:pStyle w:val="ListParagraph"/>
        <w:numPr>
          <w:ilvl w:val="0"/>
          <w:numId w:val="1"/>
        </w:numPr>
      </w:pPr>
      <w:r>
        <w:t xml:space="preserve">Feasibility, reconnaissance and option reports.</w:t>
      </w:r>
    </w:p>
    <w:p>
      <w:pPr>
        <w:pStyle w:val="ListParagraph"/>
        <w:numPr>
          <w:ilvl w:val="0"/>
          <w:numId w:val="1"/>
        </w:numPr>
      </w:pPr>
      <w:r>
        <w:t xml:space="preserve">Detailed Project Reports with design basis, implementation plan, costs, programme and risk register.</w:t>
      </w:r>
    </w:p>
    <w:p>
      <w:pPr>
        <w:pStyle w:val="ListParagraph"/>
        <w:numPr>
          <w:ilvl w:val="0"/>
          <w:numId w:val="1"/>
        </w:numPr>
      </w:pPr>
      <w:r>
        <w:t xml:space="preserve">Civil, structural, infrastructure and site-development drawings or coordinated design inputs.</w:t>
      </w:r>
    </w:p>
    <w:p>
      <w:pPr>
        <w:pStyle w:val="ListParagraph"/>
        <w:numPr>
          <w:ilvl w:val="0"/>
          <w:numId w:val="1"/>
        </w:numPr>
      </w:pPr>
      <w:r>
        <w:t xml:space="preserve">BOQs, quantity take-offs, estimates, rate analysis and technical specifications.</w:t>
      </w:r>
    </w:p>
    <w:p>
      <w:pPr>
        <w:pStyle w:val="ListParagraph"/>
        <w:numPr>
          <w:ilvl w:val="0"/>
          <w:numId w:val="1"/>
        </w:numPr>
      </w:pPr>
      <w:r>
        <w:t xml:space="preserve">Tender, bid-engineering, clarification and technical-evaluation support documents.</w:t>
      </w:r>
    </w:p>
    <w:p>
      <w:pPr>
        <w:pStyle w:val="ListParagraph"/>
        <w:numPr>
          <w:ilvl w:val="0"/>
          <w:numId w:val="1"/>
        </w:numPr>
      </w:pPr>
      <w:r>
        <w:t xml:space="preserve">Design-review notes, PMC/owner’s-engineer records, RFI responses and variation support.</w:t>
      </w:r>
    </w:p>
    <w:p>
      <w:pPr>
        <w:pStyle w:val="ListParagraph"/>
        <w:numPr>
          <w:ilvl w:val="0"/>
          <w:numId w:val="1"/>
        </w:numPr>
      </w:pPr>
      <w:r>
        <w:t xml:space="preserve">As-built, close-out and handover technical-documentation packs where contracted.</w:t>
      </w:r>
    </w:p>
    <w:p>
      <w:pPr>
        <w:pStyle w:val="Heading1"/>
        <w:keepNext/>
      </w:pPr>
      <w:r>
        <w:t xml:space="preserve">8. Benefits and decision value</w:t>
      </w:r>
    </w:p>
    <w:p>
      <w:pPr>
        <w:pStyle w:val="ListParagraph"/>
        <w:numPr>
          <w:ilvl w:val="0"/>
          <w:numId w:val="1"/>
        </w:numPr>
      </w:pPr>
      <w:r>
        <w:t xml:space="preserve">A clear link between measured site conditions, design assumptions, quantities and quality requirements.</w:t>
      </w:r>
    </w:p>
    <w:p>
      <w:pPr>
        <w:pStyle w:val="ListParagraph"/>
        <w:numPr>
          <w:ilvl w:val="0"/>
          <w:numId w:val="1"/>
        </w:numPr>
      </w:pPr>
      <w:r>
        <w:t xml:space="preserve">Earlier visibility of approval, constructability, programme and cost risks.</w:t>
      </w:r>
    </w:p>
    <w:p>
      <w:pPr>
        <w:pStyle w:val="ListParagraph"/>
        <w:numPr>
          <w:ilvl w:val="0"/>
          <w:numId w:val="1"/>
        </w:numPr>
      </w:pPr>
      <w:r>
        <w:t xml:space="preserve">Fewer inconsistencies between drawings, BOQs, specifications and site instructions.</w:t>
      </w:r>
    </w:p>
    <w:p>
      <w:pPr>
        <w:pStyle w:val="ListParagraph"/>
        <w:numPr>
          <w:ilvl w:val="0"/>
          <w:numId w:val="1"/>
        </w:numPr>
      </w:pPr>
      <w:r>
        <w:t xml:space="preserve">A practical basis for owner, EPC, PMC, authority and lender review.</w:t>
      </w:r>
    </w:p>
    <w:p>
      <w:pPr>
        <w:pStyle w:val="ListParagraph"/>
        <w:numPr>
          <w:ilvl w:val="0"/>
          <w:numId w:val="1"/>
        </w:numPr>
      </w:pPr>
      <w:r>
        <w:t xml:space="preserve">Better preparation for tender clarification, joint measurement and variation discussions.</w:t>
      </w:r>
    </w:p>
    <w:p>
      <w:pPr>
        <w:pStyle w:val="ListParagraph"/>
        <w:numPr>
          <w:ilvl w:val="0"/>
          <w:numId w:val="1"/>
        </w:numPr>
      </w:pPr>
      <w:r>
        <w:t xml:space="preserve">One technical conversation when the package combines survey, testing, design and construction support.</w:t>
      </w:r>
    </w:p>
    <w:p>
      <w:pPr>
        <w:pStyle w:val="Heading1"/>
        <w:keepNext/>
      </w:pPr>
      <w:r>
        <w:t xml:space="preserve">9. Responsibilities and claim boundaries</w:t>
      </w:r>
    </w:p>
    <w:p>
      <w:pPr>
        <w:pStyle w:val="ListParagraph"/>
        <w:numPr>
          <w:ilvl w:val="0"/>
          <w:numId w:val="1"/>
        </w:numPr>
      </w:pPr>
      <w:r>
        <w:t xml:space="preserve">Turnkey consultancy does not automatically make ACE the principal contractor, statutory authority, construction employer or guarantor of project completion.</w:t>
      </w:r>
    </w:p>
    <w:p>
      <w:pPr>
        <w:pStyle w:val="ListParagraph"/>
        <w:numPr>
          <w:ilvl w:val="0"/>
          <w:numId w:val="1"/>
        </w:numPr>
      </w:pPr>
      <w:r>
        <w:t xml:space="preserve">Statutory approvals, land permissions, environmental clearances, utility permissions and licences remain with the responsible project proponent or authority unless a specific appointment states otherwise.</w:t>
      </w:r>
    </w:p>
    <w:p>
      <w:pPr>
        <w:pStyle w:val="ListParagraph"/>
        <w:numPr>
          <w:ilvl w:val="0"/>
          <w:numId w:val="1"/>
        </w:numPr>
      </w:pPr>
      <w:r>
        <w:t xml:space="preserve">Final designs and submissions depend on verified inputs, competent review, client decisions and the project’s adopted codes and specifications.</w:t>
      </w:r>
    </w:p>
    <w:p>
      <w:pPr>
        <w:pStyle w:val="ListParagraph"/>
        <w:numPr>
          <w:ilvl w:val="0"/>
          <w:numId w:val="1"/>
        </w:numPr>
      </w:pPr>
      <w:r>
        <w:t xml:space="preserve">Cost, programme and quantity figures are estimates or technical bases unless expressly made contractual by the client’s procurement documents.</w:t>
      </w:r>
    </w:p>
    <w:p>
      <w:pPr>
        <w:pStyle w:val="ListParagraph"/>
        <w:numPr>
          <w:ilvl w:val="0"/>
          <w:numId w:val="1"/>
        </w:numPr>
      </w:pPr>
      <w:r>
        <w:t xml:space="preserve">The exact design disciplines, field presence and construction-stage role must be agreed in the proposal and contract.</w:t>
      </w:r>
    </w:p>
    <w:p>
      <w:pPr>
        <w:pStyle w:val="Heading1"/>
        <w:keepNext/>
      </w:pPr>
      <w:r>
        <w:t xml:space="preserve">10. Frequently asked questions</w:t>
      </w:r>
    </w:p>
    <w:p>
      <w:pPr>
        <w:pStyle w:val="Heading3"/>
        <w:keepNext/>
      </w:pPr>
      <w:r>
        <w:t xml:space="preserve">What information is needed to start a DPR?</w:t>
      </w:r>
    </w:p>
    <w:p>
      <w:pPr>
        <w:pStyle w:val="Normal"/>
      </w:pPr>
      <w:r>
        <w:t xml:space="preserve">Share the site location, project objective, land and utility information, available surveys and investigations, capacity or performance requirements, target programme, procurement route and authority or client submission format.</w:t>
      </w:r>
    </w:p>
    <w:p>
      <w:pPr>
        <w:pStyle w:val="Heading3"/>
        <w:keepNext/>
      </w:pPr>
      <w:r>
        <w:t xml:space="preserve">Can survey and laboratory data be coordinated with the DPR?</w:t>
      </w:r>
    </w:p>
    <w:p>
      <w:pPr>
        <w:pStyle w:val="Normal"/>
      </w:pPr>
      <w:r>
        <w:t xml:space="preserve">Yes, where included in the assignment. Control points, field measurements, material results and design assumptions can be reviewed as one technical basis rather than being translated between disconnected vendors.</w:t>
      </w:r>
    </w:p>
    <w:p>
      <w:pPr>
        <w:pStyle w:val="Heading3"/>
        <w:keepNext/>
      </w:pPr>
      <w:r>
        <w:t xml:space="preserve">Can ACE support an authority submission?</w:t>
      </w:r>
    </w:p>
    <w:p>
      <w:pPr>
        <w:pStyle w:val="Normal"/>
      </w:pPr>
      <w:r>
        <w:t xml:space="preserve">ACE can prepare or coordinate the agreed technical documents and respond to technical comments. The responsible project proponent and the authority or qualified signatory retain the statutory submission and approval responsibilities.</w:t>
      </w:r>
    </w:p>
    <w:p>
      <w:pPr>
        <w:pStyle w:val="Heading3"/>
        <w:keepNext/>
      </w:pPr>
      <w:r>
        <w:t xml:space="preserve">Does turnkey consultancy mean ACE becomes the contractor?</w:t>
      </w:r>
    </w:p>
    <w:p>
      <w:pPr>
        <w:pStyle w:val="Normal"/>
      </w:pPr>
      <w:r>
        <w:t xml:space="preserve">No. Turnkey advisory is limited to the engineering, coordination and delivery-support role defined in the appointment. Principal-contractor duties and construction liabilities remain with the parties named in the contract.</w:t>
      </w:r>
    </w:p>
    <w:p>
      <w:pPr>
        <w:pStyle w:val="Heading1"/>
        <w:keepNext/>
      </w:pPr>
      <w:r>
        <w:t xml:space="preserve">11. Suggested copyright-free image direction</w:t>
      </w:r>
    </w:p>
    <w:p>
      <w:pPr>
        <w:pStyle w:val="Normal"/>
      </w:pPr>
      <w:r>
        <w:t xml:space="preserve">Use original photography or verify the individual licence before publishing. Unsplash and Pexels are useful search sources, but the licence of the exact asset should still be checked.</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900"/>
        <w:gridCol w:w="7000"/>
      </w:tblGrid>
      <w:tr>
        <w:tc>
          <w:tcPr>
            <w:tcW w:w="2900" w:type="dxa"/>
            <w:shd w:fill="193B4A"/>
          </w:tcPr>
          <w:p>
            <w:pPr>
              <w:pStyle w:val="TableHeader"/>
            </w:pPr>
            <w:r>
              <w:rPr>
                <w:color w:val="FFFFFF"/>
              </w:rPr>
              <w:t xml:space="preserve">Image subject</w:t>
            </w:r>
          </w:p>
        </w:tc>
        <w:tc>
          <w:tcPr>
            <w:tcW w:w="7000" w:type="dxa"/>
            <w:shd w:fill="193B4A"/>
          </w:tcPr>
          <w:p>
            <w:pPr>
              <w:pStyle w:val="TableHeader"/>
            </w:pPr>
            <w:r>
              <w:rPr>
                <w:color w:val="FFFFFF"/>
              </w:rPr>
              <w:t xml:space="preserve">Description and search keywords</w:t>
            </w:r>
          </w:p>
        </w:tc>
      </w:tr>
      <w:tr>
        <w:tc>
          <w:tcPr>
            <w:tcW w:w="2900" w:type="dxa"/>
          </w:tcPr>
          <w:p>
            <w:pPr>
              <w:pStyle w:val="TableText"/>
            </w:pPr>
            <w:r>
              <w:rPr>
                <w:color w:val="25323A"/>
              </w:rPr>
              <w:t xml:space="preserve">Indian infrastructure design review</w:t>
            </w:r>
          </w:p>
        </w:tc>
        <w:tc>
          <w:tcPr>
            <w:tcW w:w="7000" w:type="dxa"/>
          </w:tcPr>
          <w:p>
            <w:pPr>
              <w:pStyle w:val="TableText"/>
            </w:pPr>
            <w:r>
              <w:rPr>
                <w:color w:val="25323A"/>
              </w:rPr>
              <w:t xml:space="preserve">Engineers reviewing a marked-up highway or public-works drawing beside a site plan, with an active Indian road project in the background. Search keywords: Indian highway DPR engineers design review site plan construction</w:t>
            </w:r>
          </w:p>
        </w:tc>
      </w:tr>
      <w:tr>
        <w:tc>
          <w:tcPr>
            <w:tcW w:w="2900" w:type="dxa"/>
          </w:tcPr>
          <w:p>
            <w:pPr>
              <w:pStyle w:val="TableText"/>
            </w:pPr>
            <w:r>
              <w:rPr>
                <w:color w:val="25323A"/>
              </w:rPr>
              <w:t xml:space="preserve">DPR and BOQ coordination</w:t>
            </w:r>
          </w:p>
        </w:tc>
        <w:tc>
          <w:tcPr>
            <w:tcW w:w="7000" w:type="dxa"/>
          </w:tcPr>
          <w:p>
            <w:pPr>
              <w:pStyle w:val="TableText"/>
            </w:pPr>
            <w:r>
              <w:rPr>
                <w:color w:val="25323A"/>
              </w:rPr>
              <w:t xml:space="preserve">A realistic project desk with printed drawings, a quantity sheet, calculator and laptop; avoid staged generic corporate imagery. Search keywords: engineering DPR BOQ quantity surveyor India drawings desk</w:t>
            </w:r>
          </w:p>
        </w:tc>
      </w:tr>
    </w:tbl>
    <w:p>
      <w:pPr>
        <w:pStyle w:val="Heading1"/>
        <w:keepNext/>
      </w:pPr>
      <w:r>
        <w:t xml:space="preserve">12. Official source register</w:t>
      </w:r>
    </w:p>
    <w:p>
      <w:pPr>
        <w:pStyle w:val="Normal"/>
      </w:pPr>
      <w:r>
        <w:t xml:space="preserve">The source families below should be checked against the latest official publication, notification or portal before using this guide for a tender, regulatory submission or contractual commitment.</w:t>
      </w:r>
    </w:p>
    <w:p>
      <w:pPr>
        <w:pStyle w:val="Small"/>
      </w:pPr>
      <w:r>
        <w:t xml:space="preserve">Ministry of Road Transport and Highways: https://morth.nic.in/</w:t>
      </w:r>
    </w:p>
    <w:p>
      <w:pPr>
        <w:pStyle w:val="Small"/>
      </w:pPr>
      <w:r>
        <w:t xml:space="preserve">Indian Roads Congress: https://irc.nic.in/</w:t>
      </w:r>
    </w:p>
    <w:p>
      <w:pPr>
        <w:pStyle w:val="Small"/>
      </w:pPr>
      <w:r>
        <w:t xml:space="preserve">National Highways Authority of India: https://nhai.gov.in/</w:t>
      </w:r>
    </w:p>
    <w:p>
      <w:pPr>
        <w:pStyle w:val="Small"/>
      </w:pPr>
      <w:r>
        <w:t xml:space="preserve">Bureau of Indian Standards: https://www.bis.gov.in/</w:t>
      </w:r>
    </w:p>
    <w:p>
      <w:pPr>
        <w:pStyle w:val="Small"/>
      </w:pPr>
      <w:r>
        <w:t xml:space="preserve">Central Public Works Department: https://cpwd.gov.in/</w:t>
      </w:r>
    </w:p>
    <w:p>
      <w:pPr>
        <w:pStyle w:val="Small"/>
      </w:pPr>
      <w:r>
        <w:t xml:space="preserve">Madhya Pradesh Public Works Department: https://mppwd.gov.in/</w:t>
      </w:r>
    </w:p>
    <w:p>
      <w:pPr>
        <w:pStyle w:val="Heading1"/>
        <w:keepNext/>
      </w:pPr>
      <w:r>
        <w:t xml:space="preserve">13. Conclusion</w:t>
      </w:r>
    </w:p>
    <w:p>
      <w:pPr>
        <w:pStyle w:val="Normal"/>
      </w:pPr>
      <w:r>
        <w:t xml:space="preserve">A strong DPR or design package is a controlled chain from project need to implementation decision. ACE’s role is to make that chain easier to review, price, build and maintain.</w:t>
      </w:r>
    </w:p>
    <w:p>
      <w:pPr>
        <w:pStyle w:val="Normal"/>
      </w:pPr>
      <w:r>
        <w:t xml:space="preserve">Before appointment, the client should confirm the project stage, design disciplines, authority format, adopted codes, required field presence, review responsibility and the documents that must be delivered at close-out.</w:t>
      </w:r>
    </w:p>
    <w:sectPr>
      <w:headerReference xmlns:r="http://schemas.openxmlformats.org/officeDocument/2006/relationships" w:type="default" r:id="rId4"/>
      <w:footerReference xmlns:r="http://schemas.openxmlformats.org/officeDocument/2006/relationships" w:type="default" r:id="rId5"/>
      <w:pgSz w:w="11906" w:h="16838"/>
      <w:pgMar w:top="1080" w:right="1080" w:bottom="1080" w:left="1080" w:header="540" w:footer="54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rPr>
        <w:color w:val="6B7478"/>
        <w:sz w:val="16"/>
        <w:szCs w:val="16"/>
      </w:rPr>
      <w:t xml:space="preserve">ACE  |  Detailed service guide  |  </w:t>
    </w:r>
    <w:fldSimple w:instr="PAGE">
      <w:r>
        <w:rPr>
          <w:color w:val="6B7478"/>
          <w:sz w:val="16"/>
        </w:rPr>
      </w:r>
    </w:fldSimple>
  </w:p>
</w:ftr>
</file>

<file path=word/header1.xml><?xml version="1.0" encoding="utf-8"?>
<w:hdr xmlns:w="http://schemas.openxmlformats.org/wordprocessingml/2006/main">
  <w:p>
    <w:pPr>
      <w:pStyle w:val="Header"/>
    </w:pPr>
    <w:r>
      <w:rPr>
        <w:b/>
        <w:color w:val="193B4A"/>
        <w:sz w:val="18"/>
        <w:szCs w:val="18"/>
      </w:rPr>
      <w:t xml:space="preserve">ACE  |  Anay Consultants &amp; Engineers</w:t>
    </w:r>
    <w:r>
      <w:rPr>
        <w:color w:val="8A5A2B"/>
        <w:sz w:val="16"/>
        <w:szCs w:val="16"/>
      </w:rPr>
      <w:t xml:space="preserve">  •  Engineering Data You Can Build On.</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20" w:hanging="220"/>
      </w:pPr>
      <w:rPr>
        <w:rFonts w:ascii="Arial" w:hAnsi="Arial"/>
      </w:rPr>
    </w:lvl>
  </w:abstractNum>
  <w:abstractNum w:abstractNumId="1">
    <w:multiLevelType w:val="singleLevel"/>
    <w:lvl w:ilvl="0">
      <w:start w:val="1"/>
      <w:numFmt w:val="decimal"/>
      <w:lvlText w:val="%1."/>
      <w:lvlJc w:val="left"/>
      <w:pPr>
        <w:ind w:left="420" w:hanging="220"/>
      </w:pPr>
    </w:lvl>
  </w:abstractNum>
  <w:num w:numId="1">
    <w:abstractNumId w:val="0"/>
  </w:num>
  <w:num w:numId="2">
    <w:abstractNumId w:val="1"/>
  </w:num>
</w:numbering>
</file>

<file path=word/settings.xml><?xml version="1.0" encoding="utf-8"?>
<w:settings xmlns:w="http://schemas.openxmlformats.org/wordprocessingml/2006/main">
  <w:zoom w:percent="100"/>
  <w:defaultTabStop w:val="720"/>
  <w:themeFontLang w:val="en-IN"/>
  <w:compat/>
  <w:doNotTrackFormatting/>
</w:settings>
</file>

<file path=word/styles.xml><?xml version="1.0" encoding="utf-8"?>
<w:styles xmlns:w="http://schemas.openxmlformats.org/wordprocessingml/2006/main">
  <w:docDefaults>
    <w:rPrDefault>
      <w:rPr>
        <w:rFonts w:ascii="Aptos" w:hAnsi="Aptos"/>
        <w:sz w:val="22"/>
        <w:szCs w:val="22"/>
        <w:color w:val="25323A"/>
      </w:rPr>
    </w:rPrDefault>
    <w:pPrDefault>
      <w:pPr>
        <w:spacing w:after="140" w:line="276" w:lineRule="auto"/>
      </w:pPr>
    </w:pPrDefault>
  </w:docDefaults>
  <w:style w:type="paragraph" w:default="1" w:styleId="Normal">
    <w:name w:val="Normal"/>
    <w:qFormat/>
  </w:style>
  <w:style w:type="paragraph" w:styleId="Title">
    <w:name w:val="Title"/>
    <w:basedOn w:val="Normal"/>
    <w:next w:val="Subtitle"/>
    <w:qFormat/>
    <w:pPr>
      <w:jc w:val="left"/>
      <w:spacing w:before="480" w:after="180"/>
    </w:pPr>
    <w:rPr>
      <w:rFonts w:ascii="Aptos Display" w:hAnsi="Aptos Display"/>
      <w:b/>
      <w:sz w:val="48"/>
      <w:szCs w:val="48"/>
      <w:color w:val="193B4A"/>
    </w:rPr>
  </w:style>
  <w:style w:type="paragraph" w:styleId="Subtitle">
    <w:name w:val="Subtitle"/>
    <w:basedOn w:val="Normal"/>
    <w:qFormat/>
    <w:pPr>
      <w:spacing w:after="300"/>
    </w:pPr>
    <w:rPr>
      <w:sz w:val="26"/>
      <w:szCs w:val="26"/>
      <w:color w:val="8A5A2B"/>
    </w:rPr>
  </w:style>
  <w:style w:type="paragraph" w:styleId="Heading1">
    <w:name w:val="heading 1"/>
    <w:basedOn w:val="Normal"/>
    <w:next w:val="Normal"/>
    <w:qFormat/>
    <w:pPr>
      <w:keepNext/>
      <w:outlineLvl w:val="0"/>
      <w:spacing w:before="420" w:after="140"/>
    </w:pPr>
    <w:rPr>
      <w:rFonts w:ascii="Aptos Display" w:hAnsi="Aptos Display"/>
      <w:b/>
      <w:sz w:val="31"/>
      <w:szCs w:val="31"/>
      <w:color w:val="193B4A"/>
    </w:rPr>
  </w:style>
  <w:style w:type="paragraph" w:styleId="Heading2">
    <w:name w:val="heading 2"/>
    <w:basedOn w:val="Normal"/>
    <w:next w:val="Normal"/>
    <w:qFormat/>
    <w:pPr>
      <w:keepNext/>
      <w:spacing w:before="260" w:after="100"/>
    </w:pPr>
    <w:rPr>
      <w:b/>
      <w:sz w:val="25"/>
      <w:szCs w:val="25"/>
      <w:color w:val="8A5A2B"/>
    </w:rPr>
  </w:style>
  <w:style w:type="paragraph" w:styleId="Heading3">
    <w:name w:val="heading 3"/>
    <w:basedOn w:val="Normal"/>
    <w:next w:val="Normal"/>
    <w:qFormat/>
    <w:pPr>
      <w:keepNext/>
      <w:spacing w:before="180" w:after="80"/>
    </w:pPr>
    <w:rPr>
      <w:b/>
      <w:sz w:val="22"/>
      <w:szCs w:val="22"/>
      <w:color w:val="193B4A"/>
    </w:rPr>
  </w:style>
  <w:style w:type="paragraph" w:styleId="ListParagraph">
    <w:name w:val="List Paragraph"/>
    <w:basedOn w:val="Normal"/>
    <w:pPr>
      <w:ind w:left="420" w:hanging="220"/>
      <w:spacing w:after="80"/>
    </w:pPr>
  </w:style>
  <w:style w:type="paragraph" w:styleId="Note">
    <w:name w:val="ACE Note"/>
    <w:basedOn w:val="Normal"/>
    <w:pPr>
      <w:shd w:fill="F4EBDD"/>
      <w:ind w:left="180" w:right="180"/>
      <w:spacing w:before="160" w:after="180"/>
    </w:pPr>
    <w:rPr>
      <w:sz w:val="20"/>
      <w:szCs w:val="20"/>
    </w:rPr>
  </w:style>
  <w:style w:type="paragraph" w:styleId="Small">
    <w:name w:val="Small"/>
    <w:basedOn w:val="Normal"/>
    <w:pPr>
      <w:spacing w:after="70"/>
    </w:pPr>
    <w:rPr>
      <w:sz w:val="18"/>
      <w:szCs w:val="18"/>
      <w:color w:val="5A6469"/>
    </w:rPr>
  </w:style>
  <w:style w:type="paragraph" w:styleId="TableText">
    <w:name w:val="Table Text"/>
    <w:basedOn w:val="Normal"/>
    <w:pPr>
      <w:spacing w:after="50" w:line="240" w:lineRule="auto"/>
    </w:pPr>
    <w:rPr>
      <w:sz w:val="18"/>
      <w:szCs w:val="18"/>
    </w:rPr>
  </w:style>
  <w:style w:type="paragraph" w:styleId="TableHeader">
    <w:name w:val="Table Header"/>
    <w:basedOn w:val="Normal"/>
    <w:pPr>
      <w:spacing w:after="50"/>
    </w:pPr>
    <w:rPr>
      <w:b/>
      <w:sz w:val="18"/>
      <w:szCs w:val="18"/>
      <w:color w:val="FFFFFF"/>
    </w:rPr>
  </w:style>
  <w:style w:type="paragraph" w:styleId="Header">
    <w:name w:val="Header"/>
    <w:basedOn w:val="Normal"/>
    <w:pPr>
      <w:pBdr>
        <w:bottom w:val="single" w:sz="6" w:space="6" w:color="D8D1C5"/>
      </w:pBdr>
      <w:spacing w:after="80"/>
    </w:pPr>
  </w:style>
  <w:style w:type="paragraph" w:styleId="Footer">
    <w:name w:val="Footer"/>
    <w:basedOn w:val="Normal"/>
    <w:pPr>
      <w:pBdr>
        <w:top w:val="single" w:sz="6" w:space="6" w:color="D8D1C5"/>
      </w:pBdr>
      <w:jc w:val="right"/>
    </w:pPr>
  </w:style>
  <w:style w:type="table" w:styleId="GuideTable">
    <w:name w:val="ACE Guide Table"/>
    <w:basedOn w:val="TableNormal"/>
    <w:tblPr>
      <w:tblCellMar>
        <w:top w:w="110" w:type="dxa"/>
        <w:start w:w="110" w:type="dxa"/>
        <w:bottom w:w="110" w:type="dxa"/>
        <w:end w:w="11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ACE Service Guide Generator</Application>
  <DocSecurity>0</DocSecurity>
  <ScaleCrop>false</ScaleCrop>
  <HeadingPairs/>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DPR &amp; Turnkey Consultancy</dc:title>
  <dc:creator>Anay Consultants &amp; Engineers</dc:creator>
  <cp:lastModifiedBy>ACE Technical Desk</cp:lastModifiedBy>
  <dcterms:created xsi:type="dcterms:W3CDTF">2026-10-17T00:00:00Z</dcterms:created>
  <dcterms:modified xsi:type="dcterms:W3CDTF">2026-10-17T00:00:00Z</dcterms:modified>
</cp:coreProperties>
</file>