
<file path=[Content_Types].xml><?xml version="1.0" encoding="utf-8"?>
<Types xmlns="http://schemas.openxmlformats.org/package/2006/content-types">
  <Default Extension="rels" ContentType="application/vnd.openxml-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pStyle w:val="Small"/>
      </w:pPr>
      <w:r>
        <w:rPr>
          <w:b/>
          <w:color w:val="8A5A2B"/>
        </w:rPr>
        <w:t xml:space="preserve">ANAY CONSULTANTS &amp; ENGINEERS</w:t>
      </w:r>
      <w:r>
        <w:rPr>
          <w:color w:val="8A5A2B"/>
        </w:rPr>
        <w:t xml:space="preserve"/>
      </w:r>
    </w:p>
    <w:p>
      <w:pPr>
        <w:pStyle w:val="Small"/>
      </w:pPr>
      <w:r>
        <w:rPr>
          <w:color w:val="5A6469"/>
        </w:rPr>
        <w:t xml:space="preserve">04  |  ACE SERVICE GUIDE</w:t>
      </w:r>
    </w:p>
    <w:p>
      <w:pPr>
        <w:pStyle w:val="Title"/>
      </w:pPr>
      <w:r>
        <w:t xml:space="preserve">Civil Material Testing Lab</w:t>
      </w:r>
    </w:p>
    <w:p>
      <w:pPr>
        <w:pStyle w:val="Subtitle"/>
      </w:pPr>
      <w:r>
        <w:t xml:space="preserve">Concrete, soil, steel, aggregates, bricks, bitumen and pavement materials tested against the requirements that govern your works.</w:t>
      </w:r>
    </w:p>
    <w:p>
      <w:pPr>
        <w:pStyle w:val="Small"/>
      </w:pPr>
      <w:r>
        <w:t xml:space="preserve">Prepared for service communication, technical briefing and project scoping</w:t>
      </w:r>
    </w:p>
    <w:p>
      <w:pPr>
        <w:pStyle w:val="Small"/>
      </w:pPr>
      <w:r>
        <w:t xml:space="preserve">Version 1.0  |  17 October 2026  |  Indore, Madhya Pradesh</w:t>
      </w:r>
    </w:p>
    <w:p>
      <w:pPr>
        <w:pStyle w:val="Note"/>
      </w:pPr>
      <w:r>
        <w:rPr>
          <w:b/>
          <w:color w:val="8A5A2B"/>
        </w:rPr>
        <w:t>Important: </w:t>
      </w:r>
      <w:r>
        <w:rPr>
          <w:i/>
          <w:color w:val="5A4635"/>
        </w:rPr>
        <w:t xml:space="preserve">This guide is a detailed service description, not a statutory approval, accreditation certificate, legal opinion or guarantee of project outcome. Applicable standards, permissions, accreditation scope and deliverables must be confirmed for the specific assignment.</w:t>
      </w:r>
    </w:p>
    <w:p>
      <w:pPr>
        <w:pStyle w:val="Normal"/>
      </w:pPr>
      <w:r>
        <w:br w:type="page"/>
      </w:r>
    </w:p>
    <w:p>
      <w:pPr>
        <w:pStyle w:val="Heading1"/>
        <w:keepNext/>
      </w:pPr>
      <w:r>
        <w:t xml:space="preserve">1. Service overview</w:t>
      </w:r>
    </w:p>
    <w:p>
      <w:pPr>
        <w:pStyle w:val="Normal"/>
      </w:pPr>
      <w:r>
        <w:t xml:space="preserve">Material testing turns a sample into a construction decision: approve a source, adjust a mix, investigate an NCR, verify compaction, release a batch or support a payment and handover record. The value of the result depends on the sample identity, method, equipment, acceptance criterion and report traceability.</w:t>
      </w:r>
    </w:p>
    <w:p>
      <w:pPr>
        <w:pStyle w:val="Normal"/>
      </w:pPr>
      <w:r>
        <w:t xml:space="preserve">ACE’s civil-material testing service is structured around the Indian standards and project QA systems commonly used in highways, buildings, industrial civil works, bridges, water infrastructure and urban projects. The exact test method and facility scope are confirmed before acceptance.</w:t>
      </w:r>
    </w:p>
    <w:p>
      <w:pPr>
        <w:pStyle w:val="Normal"/>
      </w:pPr>
      <w:r>
        <w:t xml:space="preserve">The service can connect laboratory results with field verification, mix-design work, source approval and project documentation. An item listed in this guide is a potential service menu, not an unconditional accreditation or equipment claim.</w:t>
      </w:r>
    </w:p>
    <w:p>
      <w:pPr>
        <w:pStyle w:val="Heading1"/>
        <w:keepNext/>
      </w:pPr>
      <w:r>
        <w:t xml:space="preserve">2. Scope of work</w:t>
      </w:r>
    </w:p>
    <w:p>
      <w:pPr>
        <w:pStyle w:val="Normal"/>
      </w:pPr>
      <w:r>
        <w:t xml:space="preserve">The assignment begins with a sampling and reporting brief: material source, batch or lot identity, collection date, preservation, requested tests, applicable specification, acceptance criteria, sample quantity and report recipient.</w:t>
      </w:r>
    </w:p>
    <w:p>
      <w:pPr>
        <w:pStyle w:val="Normal"/>
      </w:pPr>
      <w:r>
        <w:t xml:space="preserve">Laboratory and field-verification support may cover soil, aggregates, cement, concrete, steel, bricks, blocks, pavers, bituminous materials and related construction products. Mix-design and trial-mix work can connect results to the materials actually proposed for the project.</w:t>
      </w:r>
    </w:p>
    <w:p>
      <w:pPr>
        <w:pStyle w:val="Normal"/>
      </w:pPr>
      <w:r>
        <w:t xml:space="preserve">Before dispatch or collection, ACE should confirm the method, sample condition, equipment, reporting status, turnaround expectation and whether the tender or authority requires an accredited laboratory with a specified scope.</w:t>
      </w:r>
    </w:p>
    <w:p>
      <w:pPr>
        <w:pStyle w:val="Heading1"/>
        <w:keepNext/>
      </w:pPr>
      <w:r>
        <w:t xml:space="preserve">3. Detailed service components</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3000"/>
        <w:gridCol w:w="6900"/>
      </w:tblGrid>
      <w:tr>
        <w:tc>
          <w:tcPr>
            <w:tcW w:w="3000" w:type="dxa"/>
            <w:shd w:fill="193B4A"/>
          </w:tcPr>
          <w:p>
            <w:pPr>
              <w:pStyle w:val="TableHeader"/>
            </w:pPr>
            <w:r>
              <w:rPr>
                <w:color w:val="FFFFFF"/>
              </w:rPr>
              <w:t xml:space="preserve">Service component</w:t>
            </w:r>
          </w:p>
        </w:tc>
        <w:tc>
          <w:tcPr>
            <w:tcW w:w="6900" w:type="dxa"/>
            <w:shd w:fill="193B4A"/>
          </w:tcPr>
          <w:p>
            <w:pPr>
              <w:pStyle w:val="TableHeader"/>
            </w:pPr>
            <w:r>
              <w:rPr>
                <w:color w:val="FFFFFF"/>
              </w:rPr>
              <w:t xml:space="preserve">What the assignment may include</w:t>
            </w:r>
          </w:p>
        </w:tc>
      </w:tr>
      <w:tr>
        <w:tc>
          <w:tcPr>
            <w:tcW w:w="3000" w:type="dxa"/>
          </w:tcPr>
          <w:p>
            <w:pPr>
              <w:pStyle w:val="TableText"/>
            </w:pPr>
            <w:r>
              <w:rPr>
                <w:color w:val="25323A"/>
              </w:rPr>
              <w:t xml:space="preserve">Soil and subgrade testing</w:t>
            </w:r>
          </w:p>
        </w:tc>
        <w:tc>
          <w:tcPr>
            <w:tcW w:w="6900" w:type="dxa"/>
          </w:tcPr>
          <w:p>
            <w:pPr>
              <w:pStyle w:val="TableText"/>
            </w:pPr>
            <w:r>
              <w:rPr>
                <w:color w:val="25323A"/>
              </w:rPr>
              <w:t xml:space="preserve">Moisture, grain-size distribution, Atterberg limits, classification, Proctor compaction, CBR, field-density support and other geotechnical tests where included in the approved scope.</w:t>
            </w:r>
          </w:p>
        </w:tc>
      </w:tr>
      <w:tr>
        <w:tc>
          <w:tcPr>
            <w:tcW w:w="3000" w:type="dxa"/>
          </w:tcPr>
          <w:p>
            <w:pPr>
              <w:pStyle w:val="TableText"/>
            </w:pPr>
            <w:r>
              <w:rPr>
                <w:color w:val="25323A"/>
              </w:rPr>
              <w:t xml:space="preserve">Aggregate testing</w:t>
            </w:r>
          </w:p>
        </w:tc>
        <w:tc>
          <w:tcPr>
            <w:tcW w:w="6900" w:type="dxa"/>
          </w:tcPr>
          <w:p>
            <w:pPr>
              <w:pStyle w:val="TableText"/>
            </w:pPr>
            <w:r>
              <w:rPr>
                <w:color w:val="25323A"/>
              </w:rPr>
              <w:t xml:space="preserve">Gradation, flakiness and elongation, impact, crushing, abrasion, soundness, density, water absorption, deleterious materials and source-approval checks where specified.</w:t>
            </w:r>
          </w:p>
        </w:tc>
      </w:tr>
      <w:tr>
        <w:tc>
          <w:tcPr>
            <w:tcW w:w="3000" w:type="dxa"/>
          </w:tcPr>
          <w:p>
            <w:pPr>
              <w:pStyle w:val="TableText"/>
            </w:pPr>
            <w:r>
              <w:rPr>
                <w:color w:val="25323A"/>
              </w:rPr>
              <w:t xml:space="preserve">Cement and concrete</w:t>
            </w:r>
          </w:p>
        </w:tc>
        <w:tc>
          <w:tcPr>
            <w:tcW w:w="6900" w:type="dxa"/>
          </w:tcPr>
          <w:p>
            <w:pPr>
              <w:pStyle w:val="TableText"/>
            </w:pPr>
            <w:r>
              <w:rPr>
                <w:color w:val="25323A"/>
              </w:rPr>
              <w:t xml:space="preserve">Cement fineness, consistency, setting time, soundness and strength; concrete slump, cube or specimen strength, flexural strength, core testing, trial mixes and mix-design support.</w:t>
            </w:r>
          </w:p>
        </w:tc>
      </w:tr>
      <w:tr>
        <w:tc>
          <w:tcPr>
            <w:tcW w:w="3000" w:type="dxa"/>
          </w:tcPr>
          <w:p>
            <w:pPr>
              <w:pStyle w:val="TableText"/>
            </w:pPr>
            <w:r>
              <w:rPr>
                <w:color w:val="25323A"/>
              </w:rPr>
              <w:t xml:space="preserve">Steel and reinforcement</w:t>
            </w:r>
          </w:p>
        </w:tc>
        <w:tc>
          <w:tcPr>
            <w:tcW w:w="6900" w:type="dxa"/>
          </w:tcPr>
          <w:p>
            <w:pPr>
              <w:pStyle w:val="TableText"/>
            </w:pPr>
            <w:r>
              <w:rPr>
                <w:color w:val="25323A"/>
              </w:rPr>
              <w:t xml:space="preserve">Dimensions, mass, tensile, bend and rebend tests, with chemical or additional examinations only where the method and facility are confirmed for the assignment.</w:t>
            </w:r>
          </w:p>
        </w:tc>
      </w:tr>
      <w:tr>
        <w:tc>
          <w:tcPr>
            <w:tcW w:w="3000" w:type="dxa"/>
          </w:tcPr>
          <w:p>
            <w:pPr>
              <w:pStyle w:val="TableText"/>
            </w:pPr>
            <w:r>
              <w:rPr>
                <w:color w:val="25323A"/>
              </w:rPr>
              <w:t xml:space="preserve">Bituminous materials</w:t>
            </w:r>
          </w:p>
        </w:tc>
        <w:tc>
          <w:tcPr>
            <w:tcW w:w="6900" w:type="dxa"/>
          </w:tcPr>
          <w:p>
            <w:pPr>
              <w:pStyle w:val="TableText"/>
            </w:pPr>
            <w:r>
              <w:rPr>
                <w:color w:val="25323A"/>
              </w:rPr>
              <w:t xml:space="preserve">Penetration, softening point, ductility, viscosity, flash point, extraction, Marshall-related or other bituminous-material tests where required by the adopted specification.</w:t>
            </w:r>
          </w:p>
        </w:tc>
      </w:tr>
      <w:tr>
        <w:tc>
          <w:tcPr>
            <w:tcW w:w="3000" w:type="dxa"/>
          </w:tcPr>
          <w:p>
            <w:pPr>
              <w:pStyle w:val="TableText"/>
            </w:pPr>
            <w:r>
              <w:rPr>
                <w:color w:val="25323A"/>
              </w:rPr>
              <w:t xml:space="preserve">Masonry and paving products</w:t>
            </w:r>
          </w:p>
        </w:tc>
        <w:tc>
          <w:tcPr>
            <w:tcW w:w="6900" w:type="dxa"/>
          </w:tcPr>
          <w:p>
            <w:pPr>
              <w:pStyle w:val="TableText"/>
            </w:pPr>
            <w:r>
              <w:rPr>
                <w:color w:val="25323A"/>
              </w:rPr>
              <w:t xml:space="preserve">Brick, block, paver and masonry-unit dimensions, absorption, compressive strength and related checks against the product or project specification.</w:t>
            </w:r>
          </w:p>
        </w:tc>
      </w:tr>
      <w:tr>
        <w:tc>
          <w:tcPr>
            <w:tcW w:w="3000" w:type="dxa"/>
          </w:tcPr>
          <w:p>
            <w:pPr>
              <w:pStyle w:val="TableText"/>
            </w:pPr>
            <w:r>
              <w:rPr>
                <w:color w:val="25323A"/>
              </w:rPr>
              <w:t xml:space="preserve">In-situ and QA documentation</w:t>
            </w:r>
          </w:p>
        </w:tc>
        <w:tc>
          <w:tcPr>
            <w:tcW w:w="6900" w:type="dxa"/>
          </w:tcPr>
          <w:p>
            <w:pPr>
              <w:pStyle w:val="TableText"/>
            </w:pPr>
            <w:r>
              <w:rPr>
                <w:color w:val="25323A"/>
              </w:rPr>
              <w:t xml:space="preserve">Field-density, rebound-hammer, ultrasonic or other screening support; sample registers, method records, result review, NCR evidence and project QA/QC documentation.</w:t>
            </w:r>
          </w:p>
        </w:tc>
      </w:tr>
    </w:tbl>
    <w:p>
      <w:pPr>
        <w:pStyle w:val="Heading1"/>
        <w:keepNext/>
      </w:pPr>
      <w:r>
        <w:t xml:space="preserve">4. Standards, codes and government guidance</w:t>
      </w:r>
    </w:p>
    <w:p>
      <w:pPr>
        <w:pStyle w:val="Normal"/>
      </w:pPr>
      <w:r>
        <w:t xml:space="preserve">The following references are commonly relevant to this service. The controlling edition, amendment, method, authority requirement and contract specification must be checked before issue or execution.</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600"/>
        <w:gridCol w:w="7300"/>
      </w:tblGrid>
      <w:tr>
        <w:tc>
          <w:tcPr>
            <w:tcW w:w="2600" w:type="dxa"/>
            <w:shd w:fill="193B4A"/>
          </w:tcPr>
          <w:p>
            <w:pPr>
              <w:pStyle w:val="TableHeader"/>
            </w:pPr>
            <w:r>
              <w:rPr>
                <w:color w:val="FFFFFF"/>
              </w:rPr>
              <w:t xml:space="preserve">Reference area</w:t>
            </w:r>
          </w:p>
        </w:tc>
        <w:tc>
          <w:tcPr>
            <w:tcW w:w="7300" w:type="dxa"/>
            <w:shd w:fill="193B4A"/>
          </w:tcPr>
          <w:p>
            <w:pPr>
              <w:pStyle w:val="TableHeader"/>
            </w:pPr>
            <w:r>
              <w:rPr>
                <w:color w:val="FFFFFF"/>
              </w:rPr>
              <w:t xml:space="preserve">Applicable references and use</w:t>
            </w:r>
          </w:p>
        </w:tc>
      </w:tr>
      <w:tr>
        <w:tc>
          <w:tcPr>
            <w:tcW w:w="2600" w:type="dxa"/>
          </w:tcPr>
          <w:p>
            <w:pPr>
              <w:pStyle w:val="TableText"/>
            </w:pPr>
            <w:r>
              <w:rPr>
                <w:color w:val="25323A"/>
              </w:rPr>
              <w:t xml:space="preserve">Soil</w:t>
            </w:r>
          </w:p>
        </w:tc>
        <w:tc>
          <w:tcPr>
            <w:tcW w:w="7300" w:type="dxa"/>
          </w:tcPr>
          <w:p>
            <w:pPr>
              <w:pStyle w:val="TableText"/>
            </w:pPr>
            <w:r>
              <w:rPr>
                <w:color w:val="25323A"/>
              </w:rPr>
              <w:t xml:space="preserve">IS 2720 series and IS 1498 for soil testing and classification, subject to the method and project acceptance criterion.</w:t>
            </w:r>
          </w:p>
        </w:tc>
      </w:tr>
      <w:tr>
        <w:tc>
          <w:tcPr>
            <w:tcW w:w="2600" w:type="dxa"/>
          </w:tcPr>
          <w:p>
            <w:pPr>
              <w:pStyle w:val="TableText"/>
            </w:pPr>
            <w:r>
              <w:rPr>
                <w:color w:val="25323A"/>
              </w:rPr>
              <w:t xml:space="preserve">Aggregates</w:t>
            </w:r>
          </w:p>
        </w:tc>
        <w:tc>
          <w:tcPr>
            <w:tcW w:w="7300" w:type="dxa"/>
          </w:tcPr>
          <w:p>
            <w:pPr>
              <w:pStyle w:val="TableText"/>
            </w:pPr>
            <w:r>
              <w:rPr>
                <w:color w:val="25323A"/>
              </w:rPr>
              <w:t xml:space="preserve">IS 2386 series and IS 383 for aggregate testing and concrete aggregates.</w:t>
            </w:r>
          </w:p>
        </w:tc>
      </w:tr>
      <w:tr>
        <w:tc>
          <w:tcPr>
            <w:tcW w:w="2600" w:type="dxa"/>
          </w:tcPr>
          <w:p>
            <w:pPr>
              <w:pStyle w:val="TableText"/>
            </w:pPr>
            <w:r>
              <w:rPr>
                <w:color w:val="25323A"/>
              </w:rPr>
              <w:t xml:space="preserve">Cement and concrete</w:t>
            </w:r>
          </w:p>
        </w:tc>
        <w:tc>
          <w:tcPr>
            <w:tcW w:w="7300" w:type="dxa"/>
          </w:tcPr>
          <w:p>
            <w:pPr>
              <w:pStyle w:val="TableText"/>
            </w:pPr>
            <w:r>
              <w:rPr>
                <w:color w:val="25323A"/>
              </w:rPr>
              <w:t xml:space="preserve">IS 4031, IS 456, IS 516 series, IS 10262, IS 1199 series and IS 4926 for cement, concrete, fresh-concrete and mix-related work.</w:t>
            </w:r>
          </w:p>
        </w:tc>
      </w:tr>
      <w:tr>
        <w:tc>
          <w:tcPr>
            <w:tcW w:w="2600" w:type="dxa"/>
          </w:tcPr>
          <w:p>
            <w:pPr>
              <w:pStyle w:val="TableText"/>
            </w:pPr>
            <w:r>
              <w:rPr>
                <w:color w:val="25323A"/>
              </w:rPr>
              <w:t xml:space="preserve">Steel</w:t>
            </w:r>
          </w:p>
        </w:tc>
        <w:tc>
          <w:tcPr>
            <w:tcW w:w="7300" w:type="dxa"/>
          </w:tcPr>
          <w:p>
            <w:pPr>
              <w:pStyle w:val="TableText"/>
            </w:pPr>
            <w:r>
              <w:rPr>
                <w:color w:val="25323A"/>
              </w:rPr>
              <w:t xml:space="preserve">IS 1786, IS 2062 and IS 1608 for reinforcement and structural-steel requirements where applicable.</w:t>
            </w:r>
          </w:p>
        </w:tc>
      </w:tr>
      <w:tr>
        <w:tc>
          <w:tcPr>
            <w:tcW w:w="2600" w:type="dxa"/>
          </w:tcPr>
          <w:p>
            <w:pPr>
              <w:pStyle w:val="TableText"/>
            </w:pPr>
            <w:r>
              <w:rPr>
                <w:color w:val="25323A"/>
              </w:rPr>
              <w:t xml:space="preserve">Bricks and paving</w:t>
            </w:r>
          </w:p>
        </w:tc>
        <w:tc>
          <w:tcPr>
            <w:tcW w:w="7300" w:type="dxa"/>
          </w:tcPr>
          <w:p>
            <w:pPr>
              <w:pStyle w:val="TableText"/>
            </w:pPr>
            <w:r>
              <w:rPr>
                <w:color w:val="25323A"/>
              </w:rPr>
              <w:t xml:space="preserve">IS 1077, IS 3495 series, IS 2185 and IS 15658 for bricks, blocks and paving units.</w:t>
            </w:r>
          </w:p>
        </w:tc>
      </w:tr>
      <w:tr>
        <w:tc>
          <w:tcPr>
            <w:tcW w:w="2600" w:type="dxa"/>
          </w:tcPr>
          <w:p>
            <w:pPr>
              <w:pStyle w:val="TableText"/>
            </w:pPr>
            <w:r>
              <w:rPr>
                <w:color w:val="25323A"/>
              </w:rPr>
              <w:t xml:space="preserve">Bituminous materials</w:t>
            </w:r>
          </w:p>
        </w:tc>
        <w:tc>
          <w:tcPr>
            <w:tcW w:w="7300" w:type="dxa"/>
          </w:tcPr>
          <w:p>
            <w:pPr>
              <w:pStyle w:val="TableText"/>
            </w:pPr>
            <w:r>
              <w:rPr>
                <w:color w:val="25323A"/>
              </w:rPr>
              <w:t xml:space="preserve">IS 1201–1220 series, IS 73 and applicable bitumen or modified-bitumen standards adopted by the contract.</w:t>
            </w:r>
          </w:p>
        </w:tc>
      </w:tr>
      <w:tr>
        <w:tc>
          <w:tcPr>
            <w:tcW w:w="2600" w:type="dxa"/>
          </w:tcPr>
          <w:p>
            <w:pPr>
              <w:pStyle w:val="TableText"/>
            </w:pPr>
            <w:r>
              <w:rPr>
                <w:color w:val="25323A"/>
              </w:rPr>
              <w:t xml:space="preserve">Road and bridge QA</w:t>
            </w:r>
          </w:p>
        </w:tc>
        <w:tc>
          <w:tcPr>
            <w:tcW w:w="7300" w:type="dxa"/>
          </w:tcPr>
          <w:p>
            <w:pPr>
              <w:pStyle w:val="TableText"/>
            </w:pPr>
            <w:r>
              <w:rPr>
                <w:color w:val="25323A"/>
              </w:rPr>
              <w:t xml:space="preserve">IRC:37, IRC:58, IRC:SP:11, IRC:78, IRC:112, current MoRTH Specifications, NHAI or state PWD QAP/ITP and authority formats where adopted.</w:t>
            </w:r>
          </w:p>
        </w:tc>
      </w:tr>
      <w:tr>
        <w:tc>
          <w:tcPr>
            <w:tcW w:w="2600" w:type="dxa"/>
          </w:tcPr>
          <w:p>
            <w:pPr>
              <w:pStyle w:val="TableText"/>
            </w:pPr>
            <w:r>
              <w:rPr>
                <w:color w:val="25323A"/>
              </w:rPr>
              <w:t xml:space="preserve">Accreditation scope</w:t>
            </w:r>
          </w:p>
        </w:tc>
        <w:tc>
          <w:tcPr>
            <w:tcW w:w="7300" w:type="dxa"/>
          </w:tcPr>
          <w:p>
            <w:pPr>
              <w:pStyle w:val="TableText"/>
            </w:pPr>
            <w:r>
              <w:rPr>
                <w:color w:val="25323A"/>
              </w:rPr>
              <w:t xml:space="preserve">ISO/IEC 17025 and the exact accredited scope only where a client or tender requires accredited results. ACE accreditation is not implied by this guide.</w:t>
            </w:r>
          </w:p>
        </w:tc>
      </w:tr>
    </w:tbl>
    <w:p>
      <w:pPr>
        <w:pStyle w:val="Heading1"/>
        <w:keepNext/>
      </w:pPr>
      <w:r>
        <w:t xml:space="preserve">5. Target clients and project types</w:t>
      </w:r>
    </w:p>
    <w:p>
      <w:pPr>
        <w:pStyle w:val="Normal"/>
      </w:pPr>
      <w:r>
        <w:t xml:space="preserve">This service is suited to the following client groups and project situations, subject to the agreed scope and procurement route:</w:t>
      </w:r>
    </w:p>
    <w:p>
      <w:pPr>
        <w:pStyle w:val="ListParagraph"/>
        <w:numPr>
          <w:ilvl w:val="0"/>
          <w:numId w:val="1"/>
        </w:numPr>
      </w:pPr>
      <w:r>
        <w:t xml:space="preserve">Highway, bridge, airport, rail, water and urban-infrastructure contractors.</w:t>
      </w:r>
    </w:p>
    <w:p>
      <w:pPr>
        <w:pStyle w:val="ListParagraph"/>
        <w:numPr>
          <w:ilvl w:val="0"/>
          <w:numId w:val="1"/>
        </w:numPr>
      </w:pPr>
      <w:r>
        <w:t xml:space="preserve">NHAI, state PWD, municipal and public-works package teams.</w:t>
      </w:r>
    </w:p>
    <w:p>
      <w:pPr>
        <w:pStyle w:val="ListParagraph"/>
        <w:numPr>
          <w:ilvl w:val="0"/>
          <w:numId w:val="1"/>
        </w:numPr>
      </w:pPr>
      <w:r>
        <w:t xml:space="preserve">Builders, developers, industrial civil contractors and RMC producers.</w:t>
      </w:r>
    </w:p>
    <w:p>
      <w:pPr>
        <w:pStyle w:val="ListParagraph"/>
        <w:numPr>
          <w:ilvl w:val="0"/>
          <w:numId w:val="1"/>
        </w:numPr>
      </w:pPr>
      <w:r>
        <w:t xml:space="preserve">Cement, steel, aggregate, quarry, brick, block, paver and asphalt suppliers.</w:t>
      </w:r>
    </w:p>
    <w:p>
      <w:pPr>
        <w:pStyle w:val="ListParagraph"/>
        <w:numPr>
          <w:ilvl w:val="0"/>
          <w:numId w:val="1"/>
        </w:numPr>
      </w:pPr>
      <w:r>
        <w:t xml:space="preserve">PMCs, owner’s engineers, lender’s engineers and QA/QC departments.</w:t>
      </w:r>
    </w:p>
    <w:p>
      <w:pPr>
        <w:pStyle w:val="ListParagraph"/>
        <w:numPr>
          <w:ilvl w:val="0"/>
          <w:numId w:val="1"/>
        </w:numPr>
      </w:pPr>
      <w:r>
        <w:t xml:space="preserve">Clients investigating material non-conformance, source approval or construction disputes.</w:t>
      </w:r>
    </w:p>
    <w:p>
      <w:pPr>
        <w:pStyle w:val="Heading1"/>
        <w:keepNext/>
      </w:pPr>
      <w:r>
        <w:t xml:space="preserve">6. Delivery workflow</w:t>
      </w:r>
    </w:p>
    <w:p>
      <w:pPr>
        <w:pStyle w:val="Normal"/>
      </w:pPr>
      <w:r>
        <w:t xml:space="preserve">A clear brief and traceable records reduce rework. A typical engagement follows these steps:</w:t>
      </w:r>
    </w:p>
    <w:p>
      <w:pPr>
        <w:pStyle w:val="ListParagraph"/>
        <w:numPr>
          <w:ilvl w:val="0"/>
          <w:numId w:val="2"/>
        </w:numPr>
      </w:pPr>
      <w:r>
        <w:t xml:space="preserve">Confirm the material, source, batch or lot, project, requested tests, method, acceptance criterion and report format.</w:t>
      </w:r>
    </w:p>
    <w:p>
      <w:pPr>
        <w:pStyle w:val="ListParagraph"/>
        <w:numPr>
          <w:ilvl w:val="0"/>
          <w:numId w:val="2"/>
        </w:numPr>
      </w:pPr>
      <w:r>
        <w:t xml:space="preserve">Receive or collect samples with identification, condition, quantity, date and chain-of-custody records appropriate to the assignment.</w:t>
      </w:r>
    </w:p>
    <w:p>
      <w:pPr>
        <w:pStyle w:val="ListParagraph"/>
        <w:numPr>
          <w:ilvl w:val="0"/>
          <w:numId w:val="2"/>
        </w:numPr>
      </w:pPr>
      <w:r>
        <w:t xml:space="preserve">Check sample suitability and confirm the facility, equipment, method and accreditation or recognition requirement before testing.</w:t>
      </w:r>
    </w:p>
    <w:p>
      <w:pPr>
        <w:pStyle w:val="ListParagraph"/>
        <w:numPr>
          <w:ilvl w:val="0"/>
          <w:numId w:val="2"/>
        </w:numPr>
      </w:pPr>
      <w:r>
        <w:t xml:space="preserve">Perform the agreed test or coordinate the required recognized or accredited pathway where the project requires it.</w:t>
      </w:r>
    </w:p>
    <w:p>
      <w:pPr>
        <w:pStyle w:val="ListParagraph"/>
        <w:numPr>
          <w:ilvl w:val="0"/>
          <w:numId w:val="2"/>
        </w:numPr>
      </w:pPr>
      <w:r>
        <w:t xml:space="preserve">Review results against the specification, QAP/ITP and project decision; flag incomplete, anomalous or non-conforming results.</w:t>
      </w:r>
    </w:p>
    <w:p>
      <w:pPr>
        <w:pStyle w:val="ListParagraph"/>
        <w:numPr>
          <w:ilvl w:val="0"/>
          <w:numId w:val="2"/>
        </w:numPr>
      </w:pPr>
      <w:r>
        <w:t xml:space="preserve">Issue the report or certificate pack with sample identity, method, result, units, acceptance basis, limitations and authorized review.</w:t>
      </w:r>
    </w:p>
    <w:p>
      <w:pPr>
        <w:pStyle w:val="ListParagraph"/>
        <w:numPr>
          <w:ilvl w:val="0"/>
          <w:numId w:val="2"/>
        </w:numPr>
      </w:pPr>
      <w:r>
        <w:t xml:space="preserve">Support source approval, mix revision, NCR closure, joint measurement or authority review as included in the assignment.</w:t>
      </w:r>
    </w:p>
    <w:p>
      <w:pPr>
        <w:pStyle w:val="Heading1"/>
        <w:keepNext/>
      </w:pPr>
      <w:r>
        <w:t xml:space="preserve">7. Typical deliverables</w:t>
      </w:r>
    </w:p>
    <w:p>
      <w:pPr>
        <w:pStyle w:val="ListParagraph"/>
        <w:numPr>
          <w:ilvl w:val="0"/>
          <w:numId w:val="1"/>
        </w:numPr>
      </w:pPr>
      <w:r>
        <w:t xml:space="preserve">Sample receipt, identification and chain-of-custody records.</w:t>
      </w:r>
    </w:p>
    <w:p>
      <w:pPr>
        <w:pStyle w:val="ListParagraph"/>
        <w:numPr>
          <w:ilvl w:val="0"/>
          <w:numId w:val="1"/>
        </w:numPr>
      </w:pPr>
      <w:r>
        <w:t xml:space="preserve">Soil, aggregate, cement, concrete, steel, masonry, bitumen and pavement-material test reports.</w:t>
      </w:r>
    </w:p>
    <w:p>
      <w:pPr>
        <w:pStyle w:val="ListParagraph"/>
        <w:numPr>
          <w:ilvl w:val="0"/>
          <w:numId w:val="1"/>
        </w:numPr>
      </w:pPr>
      <w:r>
        <w:t xml:space="preserve">Concrete mix-design, trial-mix and material-source evaluation reports.</w:t>
      </w:r>
    </w:p>
    <w:p>
      <w:pPr>
        <w:pStyle w:val="ListParagraph"/>
        <w:numPr>
          <w:ilvl w:val="0"/>
          <w:numId w:val="1"/>
        </w:numPr>
      </w:pPr>
      <w:r>
        <w:t xml:space="preserve">Field-density, in-situ screening and construction QA/QC records where included.</w:t>
      </w:r>
    </w:p>
    <w:p>
      <w:pPr>
        <w:pStyle w:val="ListParagraph"/>
        <w:numPr>
          <w:ilvl w:val="0"/>
          <w:numId w:val="1"/>
        </w:numPr>
      </w:pPr>
      <w:r>
        <w:t xml:space="preserve">Non-conformance, retest, source-approval and corrective-action evidence.</w:t>
      </w:r>
    </w:p>
    <w:p>
      <w:pPr>
        <w:pStyle w:val="ListParagraph"/>
        <w:numPr>
          <w:ilvl w:val="0"/>
          <w:numId w:val="1"/>
        </w:numPr>
      </w:pPr>
      <w:r>
        <w:t xml:space="preserve">Project material registers, certificates and authority or lender review packs.</w:t>
      </w:r>
    </w:p>
    <w:p>
      <w:pPr>
        <w:pStyle w:val="Heading1"/>
        <w:keepNext/>
      </w:pPr>
      <w:r>
        <w:t xml:space="preserve">8. Benefits and decision value</w:t>
      </w:r>
    </w:p>
    <w:p>
      <w:pPr>
        <w:pStyle w:val="ListParagraph"/>
        <w:numPr>
          <w:ilvl w:val="0"/>
          <w:numId w:val="1"/>
        </w:numPr>
      </w:pPr>
      <w:r>
        <w:t xml:space="preserve">Earlier rejection of non-conforming source materials or batches.</w:t>
      </w:r>
    </w:p>
    <w:p>
      <w:pPr>
        <w:pStyle w:val="ListParagraph"/>
        <w:numPr>
          <w:ilvl w:val="0"/>
          <w:numId w:val="1"/>
        </w:numPr>
      </w:pPr>
      <w:r>
        <w:t xml:space="preserve">Mix designs based on actual project materials rather than catalogue assumptions.</w:t>
      </w:r>
    </w:p>
    <w:p>
      <w:pPr>
        <w:pStyle w:val="ListParagraph"/>
        <w:numPr>
          <w:ilvl w:val="0"/>
          <w:numId w:val="1"/>
        </w:numPr>
      </w:pPr>
      <w:r>
        <w:t xml:space="preserve">A clearer link between field samples, laboratory results and the project QAP.</w:t>
      </w:r>
    </w:p>
    <w:p>
      <w:pPr>
        <w:pStyle w:val="ListParagraph"/>
        <w:numPr>
          <w:ilvl w:val="0"/>
          <w:numId w:val="1"/>
        </w:numPr>
      </w:pPr>
      <w:r>
        <w:t xml:space="preserve">Better evidence for supplier approval, NCR closure, billing, handover and technical due diligence.</w:t>
      </w:r>
    </w:p>
    <w:p>
      <w:pPr>
        <w:pStyle w:val="ListParagraph"/>
        <w:numPr>
          <w:ilvl w:val="0"/>
          <w:numId w:val="1"/>
        </w:numPr>
      </w:pPr>
      <w:r>
        <w:t xml:space="preserve">Reduced risk of retesting caused by incomplete briefs, lost identities or mismatched methods.</w:t>
      </w:r>
    </w:p>
    <w:p>
      <w:pPr>
        <w:pStyle w:val="ListParagraph"/>
        <w:numPr>
          <w:ilvl w:val="0"/>
          <w:numId w:val="1"/>
        </w:numPr>
      </w:pPr>
      <w:r>
        <w:t xml:space="preserve">More traceable records for authority, lender, PMC and audit review.</w:t>
      </w:r>
    </w:p>
    <w:p>
      <w:pPr>
        <w:pStyle w:val="Heading1"/>
        <w:keepNext/>
      </w:pPr>
      <w:r>
        <w:t xml:space="preserve">9. Responsibilities and claim boundaries</w:t>
      </w:r>
    </w:p>
    <w:p>
      <w:pPr>
        <w:pStyle w:val="ListParagraph"/>
        <w:numPr>
          <w:ilvl w:val="0"/>
          <w:numId w:val="1"/>
        </w:numPr>
      </w:pPr>
      <w:r>
        <w:t xml:space="preserve">The listed tests describe a service menu. The exact in-house method, equipment, sample quantity, turnaround and reporting status must be confirmed before acceptance.</w:t>
      </w:r>
    </w:p>
    <w:p>
      <w:pPr>
        <w:pStyle w:val="ListParagraph"/>
        <w:numPr>
          <w:ilvl w:val="0"/>
          <w:numId w:val="1"/>
        </w:numPr>
      </w:pPr>
      <w:r>
        <w:t xml:space="preserve">A test report is not automatically an accreditation certificate, BIS licence, product certification or authority approval.</w:t>
      </w:r>
    </w:p>
    <w:p>
      <w:pPr>
        <w:pStyle w:val="ListParagraph"/>
        <w:numPr>
          <w:ilvl w:val="0"/>
          <w:numId w:val="1"/>
        </w:numPr>
      </w:pPr>
      <w:r>
        <w:t xml:space="preserve">Where an accredited or recognized laboratory is required, the legal entity and exact parameter/method scope must be verified for the project.</w:t>
      </w:r>
    </w:p>
    <w:p>
      <w:pPr>
        <w:pStyle w:val="ListParagraph"/>
        <w:numPr>
          <w:ilvl w:val="0"/>
          <w:numId w:val="1"/>
        </w:numPr>
      </w:pPr>
      <w:r>
        <w:t xml:space="preserve">Field screening tools such as rebound hammer or ultrasonic testing do not replace the acceptance method unless the project specification permits them.</w:t>
      </w:r>
    </w:p>
    <w:p>
      <w:pPr>
        <w:pStyle w:val="ListParagraph"/>
        <w:numPr>
          <w:ilvl w:val="0"/>
          <w:numId w:val="1"/>
        </w:numPr>
      </w:pPr>
      <w:r>
        <w:t xml:space="preserve">Sample quality, sampling practice, curing, transport, preservation and identification can materially affect the result and remain part of the agreed quality system.</w:t>
      </w:r>
    </w:p>
    <w:p>
      <w:pPr>
        <w:pStyle w:val="Heading1"/>
        <w:keepNext/>
      </w:pPr>
      <w:r>
        <w:t xml:space="preserve">10. Frequently asked questions</w:t>
      </w:r>
    </w:p>
    <w:p>
      <w:pPr>
        <w:pStyle w:val="Heading3"/>
        <w:keepNext/>
      </w:pPr>
      <w:r>
        <w:t xml:space="preserve">What should a material-testing request include?</w:t>
      </w:r>
    </w:p>
    <w:p>
      <w:pPr>
        <w:pStyle w:val="Normal"/>
      </w:pPr>
      <w:r>
        <w:t xml:space="preserve">Include the material or mix, sample identification, project and location, requested tests, applicable specification, sampling date, sample quantity and the report recipient or authority format.</w:t>
      </w:r>
    </w:p>
    <w:p>
      <w:pPr>
        <w:pStyle w:val="Heading3"/>
        <w:keepNext/>
      </w:pPr>
      <w:r>
        <w:t xml:space="preserve">What samples can the civil material testing lab handle?</w:t>
      </w:r>
    </w:p>
    <w:p>
      <w:pPr>
        <w:pStyle w:val="Normal"/>
      </w:pPr>
      <w:r>
        <w:t xml:space="preserve">The service menu includes concrete, soil, steel, aggregates, bitumen, bricks, blocks, pavers and related construction materials. The exact test method and sample quantity should be confirmed before dispatch.</w:t>
      </w:r>
    </w:p>
    <w:p>
      <w:pPr>
        <w:pStyle w:val="Heading3"/>
        <w:keepNext/>
      </w:pPr>
      <w:r>
        <w:t xml:space="preserve">Are all listed tests performed in-house?</w:t>
      </w:r>
    </w:p>
    <w:p>
      <w:pPr>
        <w:pStyle w:val="Normal"/>
      </w:pPr>
      <w:r>
        <w:t xml:space="preserve">The list describes the service menu, not an unconditional accreditation or equipment claim. ACE confirms the exact method, facility, sample quantity and reporting pathway against the project brief before accepting the work.</w:t>
      </w:r>
    </w:p>
    <w:p>
      <w:pPr>
        <w:pStyle w:val="Heading3"/>
        <w:keepNext/>
      </w:pPr>
      <w:r>
        <w:t xml:space="preserve">Can testing support a highway or bridge QAP?</w:t>
      </w:r>
    </w:p>
    <w:p>
      <w:pPr>
        <w:pStyle w:val="Normal"/>
      </w:pPr>
      <w:r>
        <w:t xml:space="preserve">Yes, where the requested methods, frequency, sampling plan and reporting format are agreed against the current MoRTH, IRC, NHAI, state PWD or project-specific quality requirements.</w:t>
      </w:r>
    </w:p>
    <w:p>
      <w:pPr>
        <w:pStyle w:val="Heading1"/>
        <w:keepNext/>
      </w:pPr>
      <w:r>
        <w:t xml:space="preserve">11. Suggested copyright-free image direction</w:t>
      </w:r>
    </w:p>
    <w:p>
      <w:pPr>
        <w:pStyle w:val="Normal"/>
      </w:pPr>
      <w:r>
        <w:t xml:space="preserve">Use original photography or verify the individual licence before publishing. Unsplash and Pexels are useful search sources, but the licence of the exact asset should still be checked.</w:t>
      </w:r>
    </w:p>
    <w:tbl>
      <w:tblPr>
        <w:tblStyle w:val="GuideTable"/>
        <w:tblW w:w="0" w:type="auto"/>
        <w:tblBorders>
          <w:top w:val="single" w:sz="6" w:color="D8D1C5"/>
          <w:left w:val="single" w:sz="6" w:color="D8D1C5"/>
          <w:bottom w:val="single" w:sz="6" w:color="D8D1C5"/>
          <w:right w:val="single" w:sz="6" w:color="D8D1C5"/>
          <w:insideH w:val="single" w:sz="4" w:color="E6E0D7"/>
          <w:insideV w:val="single" w:sz="4" w:color="E6E0D7"/>
        </w:tblBorders>
      </w:tblPr>
      <w:tblGrid>
        <w:gridCol w:w="2900"/>
        <w:gridCol w:w="7000"/>
      </w:tblGrid>
      <w:tr>
        <w:tc>
          <w:tcPr>
            <w:tcW w:w="2900" w:type="dxa"/>
            <w:shd w:fill="193B4A"/>
          </w:tcPr>
          <w:p>
            <w:pPr>
              <w:pStyle w:val="TableHeader"/>
            </w:pPr>
            <w:r>
              <w:rPr>
                <w:color w:val="FFFFFF"/>
              </w:rPr>
              <w:t xml:space="preserve">Image subject</w:t>
            </w:r>
          </w:p>
        </w:tc>
        <w:tc>
          <w:tcPr>
            <w:tcW w:w="7000" w:type="dxa"/>
            <w:shd w:fill="193B4A"/>
          </w:tcPr>
          <w:p>
            <w:pPr>
              <w:pStyle w:val="TableHeader"/>
            </w:pPr>
            <w:r>
              <w:rPr>
                <w:color w:val="FFFFFF"/>
              </w:rPr>
              <w:t xml:space="preserve">Description and search keywords</w:t>
            </w:r>
          </w:p>
        </w:tc>
      </w:tr>
      <w:tr>
        <w:tc>
          <w:tcPr>
            <w:tcW w:w="2900" w:type="dxa"/>
          </w:tcPr>
          <w:p>
            <w:pPr>
              <w:pStyle w:val="TableText"/>
            </w:pPr>
            <w:r>
              <w:rPr>
                <w:color w:val="25323A"/>
              </w:rPr>
              <w:t xml:space="preserve">Concrete cube compression testing</w:t>
            </w:r>
          </w:p>
        </w:tc>
        <w:tc>
          <w:tcPr>
            <w:tcW w:w="7000" w:type="dxa"/>
          </w:tcPr>
          <w:p>
            <w:pPr>
              <w:pStyle w:val="TableText"/>
            </w:pPr>
            <w:r>
              <w:rPr>
                <w:color w:val="25323A"/>
              </w:rPr>
              <w:t xml:space="preserve">A technician placing a concrete cube in a compression-testing machine in a clean Indian civil laboratory, with sample IDs visible but no private data. Search keywords: concrete cube compression testing laboratory India civil materials</w:t>
            </w:r>
          </w:p>
        </w:tc>
      </w:tr>
      <w:tr>
        <w:tc>
          <w:tcPr>
            <w:tcW w:w="2900" w:type="dxa"/>
          </w:tcPr>
          <w:p>
            <w:pPr>
              <w:pStyle w:val="TableText"/>
            </w:pPr>
            <w:r>
              <w:rPr>
                <w:color w:val="25323A"/>
              </w:rPr>
              <w:t xml:space="preserve">Soil and aggregate testing</w:t>
            </w:r>
          </w:p>
        </w:tc>
        <w:tc>
          <w:tcPr>
            <w:tcW w:w="7000" w:type="dxa"/>
          </w:tcPr>
          <w:p>
            <w:pPr>
              <w:pStyle w:val="TableText"/>
            </w:pPr>
            <w:r>
              <w:rPr>
                <w:color w:val="25323A"/>
              </w:rPr>
              <w:t xml:space="preserve">Sieve-analysis trays, aggregate samples and a field-density kit arranged on a real project QA bench rather than a generic science lab. Search keywords: soil sieve analysis aggregate testing laboratory India road quality control</w:t>
            </w:r>
          </w:p>
        </w:tc>
      </w:tr>
    </w:tbl>
    <w:p>
      <w:pPr>
        <w:pStyle w:val="Heading1"/>
        <w:keepNext/>
      </w:pPr>
      <w:r>
        <w:t xml:space="preserve">12. Official source register</w:t>
      </w:r>
    </w:p>
    <w:p>
      <w:pPr>
        <w:pStyle w:val="Normal"/>
      </w:pPr>
      <w:r>
        <w:t xml:space="preserve">The source families below should be checked against the latest official publication, notification or portal before using this guide for a tender, regulatory submission or contractual commitment.</w:t>
      </w:r>
    </w:p>
    <w:p>
      <w:pPr>
        <w:pStyle w:val="Small"/>
      </w:pPr>
      <w:r>
        <w:t xml:space="preserve">Bureau of Indian Standards: https://www.bis.gov.in/</w:t>
      </w:r>
    </w:p>
    <w:p>
      <w:pPr>
        <w:pStyle w:val="Small"/>
      </w:pPr>
      <w:r>
        <w:t xml:space="preserve">NABL: https://nabl-india.org/</w:t>
      </w:r>
    </w:p>
    <w:p>
      <w:pPr>
        <w:pStyle w:val="Small"/>
      </w:pPr>
      <w:r>
        <w:t xml:space="preserve">Indian Roads Congress: https://irc.nic.in/</w:t>
      </w:r>
    </w:p>
    <w:p>
      <w:pPr>
        <w:pStyle w:val="Small"/>
      </w:pPr>
      <w:r>
        <w:t xml:space="preserve">Ministry of Road Transport and Highways: https://morth.nic.in/</w:t>
      </w:r>
    </w:p>
    <w:p>
      <w:pPr>
        <w:pStyle w:val="Small"/>
      </w:pPr>
      <w:r>
        <w:t xml:space="preserve">National Highways Authority of India: https://nhai.gov.in/</w:t>
      </w:r>
    </w:p>
    <w:p>
      <w:pPr>
        <w:pStyle w:val="Small"/>
      </w:pPr>
      <w:r>
        <w:t xml:space="preserve">Central Public Works Department: https://cpwd.gov.in/</w:t>
      </w:r>
    </w:p>
    <w:p>
      <w:pPr>
        <w:pStyle w:val="Heading1"/>
        <w:keepNext/>
      </w:pPr>
      <w:r>
        <w:t xml:space="preserve">13. Conclusion</w:t>
      </w:r>
    </w:p>
    <w:p>
      <w:pPr>
        <w:pStyle w:val="Normal"/>
      </w:pPr>
      <w:r>
        <w:t xml:space="preserve">A useful material result is more than a number. It is a traceable connection between the sample, method, acceptance criterion, project decision and record that the next reviewer can understand.</w:t>
      </w:r>
    </w:p>
    <w:p>
      <w:pPr>
        <w:pStyle w:val="Normal"/>
      </w:pPr>
      <w:r>
        <w:t xml:space="preserve">Before sending a sample, the client should confirm the requested method, sample quantity, collection and curing requirements, accreditation need, turnaround, acceptance criterion and report format.</w:t>
      </w:r>
    </w:p>
    <w:sectPr>
      <w:headerReference xmlns:r="http://schemas.openxmlformats.org/officeDocument/2006/relationships" w:type="default" r:id="rId4"/>
      <w:footerReference xmlns:r="http://schemas.openxmlformats.org/officeDocument/2006/relationships" w:type="default" r:id="rId5"/>
      <w:pgSz w:w="11906" w:h="16838"/>
      <w:pgMar w:top="1080" w:right="1080" w:bottom="1080" w:left="1080" w:header="540" w:footer="540" w:gutter="0"/>
      <w:cols w:space="720"/>
      <w:docGrid w:linePitch="360"/>
    </w:sectPr>
  </w:body>
</w:document>
</file>

<file path=word/footer1.xml><?xml version="1.0" encoding="utf-8"?>
<w:ftr xmlns:w="http://schemas.openxmlformats.org/wordprocessingml/2006/main" xmlns:r="http://schemas.openxmlformats.org/officeDocument/2006/relationships">
  <w:p>
    <w:pPr>
      <w:pStyle w:val="Footer"/>
    </w:pPr>
    <w:r>
      <w:rPr>
        <w:color w:val="6B7478"/>
        <w:sz w:val="16"/>
        <w:szCs w:val="16"/>
      </w:rPr>
      <w:t xml:space="preserve">ACE  |  Detailed service guide  |  </w:t>
    </w:r>
    <w:fldSimple w:instr="PAGE">
      <w:r>
        <w:rPr>
          <w:color w:val="6B7478"/>
          <w:sz w:val="16"/>
        </w:rPr>
      </w:r>
    </w:fldSimple>
  </w:p>
</w:ftr>
</file>

<file path=word/header1.xml><?xml version="1.0" encoding="utf-8"?>
<w:hdr xmlns:w="http://schemas.openxmlformats.org/wordprocessingml/2006/main">
  <w:p>
    <w:pPr>
      <w:pStyle w:val="Header"/>
    </w:pPr>
    <w:r>
      <w:rPr>
        <w:b/>
        <w:color w:val="193B4A"/>
        <w:sz w:val="18"/>
        <w:szCs w:val="18"/>
      </w:rPr>
      <w:t xml:space="preserve">ACE  |  Anay Consultants &amp; Engineers</w:t>
    </w:r>
    <w:r>
      <w:rPr>
        <w:color w:val="8A5A2B"/>
        <w:sz w:val="16"/>
        <w:szCs w:val="16"/>
      </w:rPr>
      <w:t xml:space="preserve">  •  Engineering Data You Can Build On.</w:t>
    </w: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420" w:hanging="220"/>
      </w:pPr>
      <w:rPr>
        <w:rFonts w:ascii="Arial" w:hAnsi="Arial"/>
      </w:rPr>
    </w:lvl>
  </w:abstractNum>
  <w:abstractNum w:abstractNumId="1">
    <w:multiLevelType w:val="singleLevel"/>
    <w:lvl w:ilvl="0">
      <w:start w:val="1"/>
      <w:numFmt w:val="decimal"/>
      <w:lvlText w:val="%1."/>
      <w:lvlJc w:val="left"/>
      <w:pPr>
        <w:ind w:left="420" w:hanging="220"/>
      </w:pPr>
    </w:lvl>
  </w:abstractNum>
  <w:num w:numId="1">
    <w:abstractNumId w:val="0"/>
  </w:num>
  <w:num w:numId="2">
    <w:abstractNumId w:val="1"/>
  </w:num>
</w:numbering>
</file>

<file path=word/settings.xml><?xml version="1.0" encoding="utf-8"?>
<w:settings xmlns:w="http://schemas.openxmlformats.org/wordprocessingml/2006/main">
  <w:zoom w:percent="100"/>
  <w:defaultTabStop w:val="720"/>
  <w:themeFontLang w:val="en-IN"/>
  <w:compat/>
  <w:doNotTrackFormatting/>
</w:settings>
</file>

<file path=word/styles.xml><?xml version="1.0" encoding="utf-8"?>
<w:styles xmlns:w="http://schemas.openxmlformats.org/wordprocessingml/2006/main">
  <w:docDefaults>
    <w:rPrDefault>
      <w:rPr>
        <w:rFonts w:ascii="Aptos" w:hAnsi="Aptos"/>
        <w:sz w:val="22"/>
        <w:szCs w:val="22"/>
        <w:color w:val="25323A"/>
      </w:rPr>
    </w:rPrDefault>
    <w:pPrDefault>
      <w:pPr>
        <w:spacing w:after="140" w:line="276" w:lineRule="auto"/>
      </w:pPr>
    </w:pPrDefault>
  </w:docDefaults>
  <w:style w:type="paragraph" w:default="1" w:styleId="Normal">
    <w:name w:val="Normal"/>
    <w:qFormat/>
  </w:style>
  <w:style w:type="paragraph" w:styleId="Title">
    <w:name w:val="Title"/>
    <w:basedOn w:val="Normal"/>
    <w:next w:val="Subtitle"/>
    <w:qFormat/>
    <w:pPr>
      <w:jc w:val="left"/>
      <w:spacing w:before="480" w:after="180"/>
    </w:pPr>
    <w:rPr>
      <w:rFonts w:ascii="Aptos Display" w:hAnsi="Aptos Display"/>
      <w:b/>
      <w:sz w:val="48"/>
      <w:szCs w:val="48"/>
      <w:color w:val="193B4A"/>
    </w:rPr>
  </w:style>
  <w:style w:type="paragraph" w:styleId="Subtitle">
    <w:name w:val="Subtitle"/>
    <w:basedOn w:val="Normal"/>
    <w:qFormat/>
    <w:pPr>
      <w:spacing w:after="300"/>
    </w:pPr>
    <w:rPr>
      <w:sz w:val="26"/>
      <w:szCs w:val="26"/>
      <w:color w:val="8A5A2B"/>
    </w:rPr>
  </w:style>
  <w:style w:type="paragraph" w:styleId="Heading1">
    <w:name w:val="heading 1"/>
    <w:basedOn w:val="Normal"/>
    <w:next w:val="Normal"/>
    <w:qFormat/>
    <w:pPr>
      <w:keepNext/>
      <w:outlineLvl w:val="0"/>
      <w:spacing w:before="420" w:after="140"/>
    </w:pPr>
    <w:rPr>
      <w:rFonts w:ascii="Aptos Display" w:hAnsi="Aptos Display"/>
      <w:b/>
      <w:sz w:val="31"/>
      <w:szCs w:val="31"/>
      <w:color w:val="193B4A"/>
    </w:rPr>
  </w:style>
  <w:style w:type="paragraph" w:styleId="Heading2">
    <w:name w:val="heading 2"/>
    <w:basedOn w:val="Normal"/>
    <w:next w:val="Normal"/>
    <w:qFormat/>
    <w:pPr>
      <w:keepNext/>
      <w:spacing w:before="260" w:after="100"/>
    </w:pPr>
    <w:rPr>
      <w:b/>
      <w:sz w:val="25"/>
      <w:szCs w:val="25"/>
      <w:color w:val="8A5A2B"/>
    </w:rPr>
  </w:style>
  <w:style w:type="paragraph" w:styleId="Heading3">
    <w:name w:val="heading 3"/>
    <w:basedOn w:val="Normal"/>
    <w:next w:val="Normal"/>
    <w:qFormat/>
    <w:pPr>
      <w:keepNext/>
      <w:spacing w:before="180" w:after="80"/>
    </w:pPr>
    <w:rPr>
      <w:b/>
      <w:sz w:val="22"/>
      <w:szCs w:val="22"/>
      <w:color w:val="193B4A"/>
    </w:rPr>
  </w:style>
  <w:style w:type="paragraph" w:styleId="ListParagraph">
    <w:name w:val="List Paragraph"/>
    <w:basedOn w:val="Normal"/>
    <w:pPr>
      <w:ind w:left="420" w:hanging="220"/>
      <w:spacing w:after="80"/>
    </w:pPr>
  </w:style>
  <w:style w:type="paragraph" w:styleId="Note">
    <w:name w:val="ACE Note"/>
    <w:basedOn w:val="Normal"/>
    <w:pPr>
      <w:shd w:fill="F4EBDD"/>
      <w:ind w:left="180" w:right="180"/>
      <w:spacing w:before="160" w:after="180"/>
    </w:pPr>
    <w:rPr>
      <w:sz w:val="20"/>
      <w:szCs w:val="20"/>
    </w:rPr>
  </w:style>
  <w:style w:type="paragraph" w:styleId="Small">
    <w:name w:val="Small"/>
    <w:basedOn w:val="Normal"/>
    <w:pPr>
      <w:spacing w:after="70"/>
    </w:pPr>
    <w:rPr>
      <w:sz w:val="18"/>
      <w:szCs w:val="18"/>
      <w:color w:val="5A6469"/>
    </w:rPr>
  </w:style>
  <w:style w:type="paragraph" w:styleId="TableText">
    <w:name w:val="Table Text"/>
    <w:basedOn w:val="Normal"/>
    <w:pPr>
      <w:spacing w:after="50" w:line="240" w:lineRule="auto"/>
    </w:pPr>
    <w:rPr>
      <w:sz w:val="18"/>
      <w:szCs w:val="18"/>
    </w:rPr>
  </w:style>
  <w:style w:type="paragraph" w:styleId="TableHeader">
    <w:name w:val="Table Header"/>
    <w:basedOn w:val="Normal"/>
    <w:pPr>
      <w:spacing w:after="50"/>
    </w:pPr>
    <w:rPr>
      <w:b/>
      <w:sz w:val="18"/>
      <w:szCs w:val="18"/>
      <w:color w:val="FFFFFF"/>
    </w:rPr>
  </w:style>
  <w:style w:type="paragraph" w:styleId="Header">
    <w:name w:val="Header"/>
    <w:basedOn w:val="Normal"/>
    <w:pPr>
      <w:pBdr>
        <w:bottom w:val="single" w:sz="6" w:space="6" w:color="D8D1C5"/>
      </w:pBdr>
      <w:spacing w:after="80"/>
    </w:pPr>
  </w:style>
  <w:style w:type="paragraph" w:styleId="Footer">
    <w:name w:val="Footer"/>
    <w:basedOn w:val="Normal"/>
    <w:pPr>
      <w:pBdr>
        <w:top w:val="single" w:sz="6" w:space="6" w:color="D8D1C5"/>
      </w:pBdr>
      <w:jc w:val="right"/>
    </w:pPr>
  </w:style>
  <w:style w:type="table" w:styleId="GuideTable">
    <w:name w:val="ACE Guide Table"/>
    <w:basedOn w:val="TableNormal"/>
    <w:tblPr>
      <w:tblCellMar>
        <w:top w:w="110" w:type="dxa"/>
        <w:start w:w="110" w:type="dxa"/>
        <w:bottom w:w="110" w:type="dxa"/>
        <w:end w:w="110" w:type="dxa"/>
      </w:tblCellMar>
    </w:tbl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header" Target="header1.xml"/>
  <Relationship Id="rId5"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ACE Service Guide Generator</Application>
  <DocSecurity>0</DocSecurity>
  <ScaleCrop>false</ScaleCrop>
  <HeadingPairs/>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Material Testing Lab</dc:title>
  <dc:creator>Anay Consultants &amp; Engineers</dc:creator>
  <cp:lastModifiedBy>ACE Technical Desk</cp:lastModifiedBy>
  <dcterms:created xsi:type="dcterms:W3CDTF">2026-10-17T00:00:00Z</dcterms:created>
  <dcterms:modified xsi:type="dcterms:W3CDTF">2026-10-17T00:00:00Z</dcterms:modified>
</cp:coreProperties>
</file>