
<file path=[Content_Types].xml><?xml version="1.0" encoding="utf-8"?>
<Types xmlns="http://schemas.openxmlformats.org/package/2006/content-types">
  <Default Extension="rels" ContentType="application/vnd.openxml-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pStyle w:val="Small"/>
      </w:pPr>
      <w:r>
        <w:rPr>
          <w:b/>
          <w:color w:val="8A5A2B"/>
        </w:rPr>
        <w:t xml:space="preserve">ANAY CONSULTANTS &amp; ENGINEERS</w:t>
      </w:r>
      <w:r>
        <w:rPr>
          <w:color w:val="8A5A2B"/>
        </w:rPr>
        <w:t xml:space="preserve"/>
      </w:r>
    </w:p>
    <w:p>
      <w:pPr>
        <w:pStyle w:val="Small"/>
      </w:pPr>
      <w:r>
        <w:rPr>
          <w:color w:val="5A6469"/>
        </w:rPr>
        <w:t xml:space="preserve">05  |  ACE SERVICE GUIDE</w:t>
      </w:r>
    </w:p>
    <w:p>
      <w:pPr>
        <w:pStyle w:val="Title"/>
      </w:pPr>
      <w:r>
        <w:t xml:space="preserve">Chemical &amp; Product Testing</w:t>
      </w:r>
    </w:p>
    <w:p>
      <w:pPr>
        <w:pStyle w:val="Subtitle"/>
      </w:pPr>
      <w:r>
        <w:t xml:space="preserve">Laboratory analytics for water, chemicals and manufactured products — results you can specify against.</w:t>
      </w:r>
    </w:p>
    <w:p>
      <w:pPr>
        <w:pStyle w:val="Small"/>
      </w:pPr>
      <w:r>
        <w:t xml:space="preserve">Prepared for service communication, technical briefing and project scoping</w:t>
      </w:r>
    </w:p>
    <w:p>
      <w:pPr>
        <w:pStyle w:val="Small"/>
      </w:pPr>
      <w:r>
        <w:t xml:space="preserve">Version 1.0  |  17 October 2026  |  Indore, Madhya Pradesh</w:t>
      </w:r>
    </w:p>
    <w:p>
      <w:pPr>
        <w:pStyle w:val="Note"/>
      </w:pPr>
      <w:r>
        <w:rPr>
          <w:b/>
          <w:color w:val="8A5A2B"/>
        </w:rPr>
        <w:t>Important: </w:t>
      </w:r>
      <w:r>
        <w:rPr>
          <w:i/>
          <w:color w:val="5A4635"/>
        </w:rPr>
        <w:t xml:space="preserve">This guide is a detailed service description, not a statutory approval, accreditation certificate, legal opinion or guarantee of project outcome. Applicable standards, permissions, accreditation scope and deliverables must be confirmed for the specific assignment.</w:t>
      </w:r>
    </w:p>
    <w:p>
      <w:pPr>
        <w:pStyle w:val="Normal"/>
      </w:pPr>
      <w:r>
        <w:br w:type="page"/>
      </w:r>
    </w:p>
    <w:p>
      <w:pPr>
        <w:pStyle w:val="Heading1"/>
        <w:keepNext/>
      </w:pPr>
      <w:r>
        <w:t xml:space="preserve">1. Service overview</w:t>
      </w:r>
    </w:p>
    <w:p>
      <w:pPr>
        <w:pStyle w:val="Normal"/>
      </w:pPr>
      <w:r>
        <w:t xml:space="preserve">Chemical and product testing helps a plant, procurement team, R&amp;D group or project owner decide whether a water sample, raw material, process chemical or finished product meets the agreed requirement. The result is only useful when the sample represents the batch or process and the method matches the question being asked.</w:t>
      </w:r>
    </w:p>
    <w:p>
      <w:pPr>
        <w:pStyle w:val="Normal"/>
      </w:pPr>
      <w:r>
        <w:t xml:space="preserve">The service can support drinking, process and wastewater analysis, chemical and raw-material characterisation, construction-chemical and coating checks, product-quality testing, sampling plans, chain of custody, method selection and technical certificate packs.</w:t>
      </w:r>
    </w:p>
    <w:p>
      <w:pPr>
        <w:pStyle w:val="Normal"/>
      </w:pPr>
      <w:r>
        <w:t xml:space="preserve">A test report should not be confused with BIS certification, FSSAI approval, a notified-laboratory certificate, a statutory consent or an accreditation claim. Where a product or regulatory pathway requires a recognized, notified or accredited body, that requirement must be separately confirmed and coordinated.</w:t>
      </w:r>
    </w:p>
    <w:p>
      <w:pPr>
        <w:pStyle w:val="Heading1"/>
        <w:keepNext/>
      </w:pPr>
      <w:r>
        <w:t xml:space="preserve">2. Scope of work</w:t>
      </w:r>
    </w:p>
    <w:p>
      <w:pPr>
        <w:pStyle w:val="Normal"/>
      </w:pPr>
      <w:r>
        <w:t xml:space="preserve">The work starts by translating the decision into a sample plan: product or material identity, batch or lot, process step, intended use, preservation, sample quantity, method, specification, reporting limit and certificate format.</w:t>
      </w:r>
    </w:p>
    <w:p>
      <w:pPr>
        <w:pStyle w:val="Normal"/>
      </w:pPr>
      <w:r>
        <w:t xml:space="preserve">The assignment may include water and wastewater parameters, raw-material and chemical properties, construction chemicals, paints and coatings, fuels or process materials, packaging or manufactured-product testing, and review of results against a client or product specification.</w:t>
      </w:r>
    </w:p>
    <w:p>
      <w:pPr>
        <w:pStyle w:val="Normal"/>
      </w:pPr>
      <w:r>
        <w:t xml:space="preserve">Sampling, chain of custody, laboratory method, quality controls and result interpretation are coordinated with the regulatory or procurement decision. Statutory submissions and product-conformity steps remain with the responsible proponent, recognized laboratory, notified body or authority where required.</w:t>
      </w:r>
    </w:p>
    <w:p>
      <w:pPr>
        <w:pStyle w:val="Heading1"/>
        <w:keepNext/>
      </w:pPr>
      <w:r>
        <w:t xml:space="preserve">3. Detailed service components</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3000"/>
        <w:gridCol w:w="6900"/>
      </w:tblGrid>
      <w:tr>
        <w:tc>
          <w:tcPr>
            <w:tcW w:w="3000" w:type="dxa"/>
            <w:shd w:fill="193B4A"/>
          </w:tcPr>
          <w:p>
            <w:pPr>
              <w:pStyle w:val="TableHeader"/>
            </w:pPr>
            <w:r>
              <w:rPr>
                <w:color w:val="FFFFFF"/>
              </w:rPr>
              <w:t xml:space="preserve">Service component</w:t>
            </w:r>
          </w:p>
        </w:tc>
        <w:tc>
          <w:tcPr>
            <w:tcW w:w="6900" w:type="dxa"/>
            <w:shd w:fill="193B4A"/>
          </w:tcPr>
          <w:p>
            <w:pPr>
              <w:pStyle w:val="TableHeader"/>
            </w:pPr>
            <w:r>
              <w:rPr>
                <w:color w:val="FFFFFF"/>
              </w:rPr>
              <w:t xml:space="preserve">What the assignment may include</w:t>
            </w:r>
          </w:p>
        </w:tc>
      </w:tr>
      <w:tr>
        <w:tc>
          <w:tcPr>
            <w:tcW w:w="3000" w:type="dxa"/>
          </w:tcPr>
          <w:p>
            <w:pPr>
              <w:pStyle w:val="TableText"/>
            </w:pPr>
            <w:r>
              <w:rPr>
                <w:color w:val="25323A"/>
              </w:rPr>
              <w:t xml:space="preserve">Water and wastewater analysis</w:t>
            </w:r>
          </w:p>
        </w:tc>
        <w:tc>
          <w:tcPr>
            <w:tcW w:w="6900" w:type="dxa"/>
          </w:tcPr>
          <w:p>
            <w:pPr>
              <w:pStyle w:val="TableText"/>
            </w:pPr>
            <w:r>
              <w:rPr>
                <w:color w:val="25323A"/>
              </w:rPr>
              <w:t xml:space="preserve">Drinking, process and wastewater sampling and testing against the agreed parameter list, such as pH, conductivity, turbidity, TDS, hardness, alkalinity, chloride, sulphate, nutrients, metals or organics where methods are confirmed.</w:t>
            </w:r>
          </w:p>
        </w:tc>
      </w:tr>
      <w:tr>
        <w:tc>
          <w:tcPr>
            <w:tcW w:w="3000" w:type="dxa"/>
          </w:tcPr>
          <w:p>
            <w:pPr>
              <w:pStyle w:val="TableText"/>
            </w:pPr>
            <w:r>
              <w:rPr>
                <w:color w:val="25323A"/>
              </w:rPr>
              <w:t xml:space="preserve">Chemical and raw-material characterisation</w:t>
            </w:r>
          </w:p>
        </w:tc>
        <w:tc>
          <w:tcPr>
            <w:tcW w:w="6900" w:type="dxa"/>
          </w:tcPr>
          <w:p>
            <w:pPr>
              <w:pStyle w:val="TableText"/>
            </w:pPr>
            <w:r>
              <w:rPr>
                <w:color w:val="25323A"/>
              </w:rPr>
              <w:t xml:space="preserve">Support concentration, purity, identity, density, viscosity, flash point or other physical and chemical-property questions where the applicable method and facility are available.</w:t>
            </w:r>
          </w:p>
        </w:tc>
      </w:tr>
      <w:tr>
        <w:tc>
          <w:tcPr>
            <w:tcW w:w="3000" w:type="dxa"/>
          </w:tcPr>
          <w:p>
            <w:pPr>
              <w:pStyle w:val="TableText"/>
            </w:pPr>
            <w:r>
              <w:rPr>
                <w:color w:val="25323A"/>
              </w:rPr>
              <w:t xml:space="preserve">Construction chemicals</w:t>
            </w:r>
          </w:p>
        </w:tc>
        <w:tc>
          <w:tcPr>
            <w:tcW w:w="6900" w:type="dxa"/>
          </w:tcPr>
          <w:p>
            <w:pPr>
              <w:pStyle w:val="TableText"/>
            </w:pPr>
            <w:r>
              <w:rPr>
                <w:color w:val="25323A"/>
              </w:rPr>
              <w:t xml:space="preserve">Test planning or coordination for cement, admixture, waterproofing compounds, paints, coatings, adhesives and sealants against the applicable product or project specification.</w:t>
            </w:r>
          </w:p>
        </w:tc>
      </w:tr>
      <w:tr>
        <w:tc>
          <w:tcPr>
            <w:tcW w:w="3000" w:type="dxa"/>
          </w:tcPr>
          <w:p>
            <w:pPr>
              <w:pStyle w:val="TableText"/>
            </w:pPr>
            <w:r>
              <w:rPr>
                <w:color w:val="25323A"/>
              </w:rPr>
              <w:t xml:space="preserve">Manufactured products and packaging</w:t>
            </w:r>
          </w:p>
        </w:tc>
        <w:tc>
          <w:tcPr>
            <w:tcW w:w="6900" w:type="dxa"/>
          </w:tcPr>
          <w:p>
            <w:pPr>
              <w:pStyle w:val="TableText"/>
            </w:pPr>
            <w:r>
              <w:rPr>
                <w:color w:val="25323A"/>
              </w:rPr>
              <w:t xml:space="preserve">Product-quality, polymer, rubber, packaging or food-contact-material test planning where the sample, method, intended use and recognized pathway are confirmed.</w:t>
            </w:r>
          </w:p>
        </w:tc>
      </w:tr>
      <w:tr>
        <w:tc>
          <w:tcPr>
            <w:tcW w:w="3000" w:type="dxa"/>
          </w:tcPr>
          <w:p>
            <w:pPr>
              <w:pStyle w:val="TableText"/>
            </w:pPr>
            <w:r>
              <w:rPr>
                <w:color w:val="25323A"/>
              </w:rPr>
              <w:t xml:space="preserve">Industrial and process materials</w:t>
            </w:r>
          </w:p>
        </w:tc>
        <w:tc>
          <w:tcPr>
            <w:tcW w:w="6900" w:type="dxa"/>
          </w:tcPr>
          <w:p>
            <w:pPr>
              <w:pStyle w:val="TableText"/>
            </w:pPr>
            <w:r>
              <w:rPr>
                <w:color w:val="25323A"/>
              </w:rPr>
              <w:t xml:space="preserve">Support fuel, lubricant, process-chemical, formulation or supplier-qualification questions using the agreed sampling and reporting basis.</w:t>
            </w:r>
          </w:p>
        </w:tc>
      </w:tr>
      <w:tr>
        <w:tc>
          <w:tcPr>
            <w:tcW w:w="3000" w:type="dxa"/>
          </w:tcPr>
          <w:p>
            <w:pPr>
              <w:pStyle w:val="TableText"/>
            </w:pPr>
            <w:r>
              <w:rPr>
                <w:color w:val="25323A"/>
              </w:rPr>
              <w:t xml:space="preserve">Sampling and result review</w:t>
            </w:r>
          </w:p>
        </w:tc>
        <w:tc>
          <w:tcPr>
            <w:tcW w:w="6900" w:type="dxa"/>
          </w:tcPr>
          <w:p>
            <w:pPr>
              <w:pStyle w:val="TableText"/>
            </w:pPr>
            <w:r>
              <w:rPr>
                <w:color w:val="25323A"/>
              </w:rPr>
              <w:t xml:space="preserve">Prepare sample plans, chain-of-custody records, batch or lot registers, method-selection notes, specification comparison and technical response to anomalies or non-conformance.</w:t>
            </w:r>
          </w:p>
        </w:tc>
      </w:tr>
      <w:tr>
        <w:tc>
          <w:tcPr>
            <w:tcW w:w="3000" w:type="dxa"/>
          </w:tcPr>
          <w:p>
            <w:pPr>
              <w:pStyle w:val="TableText"/>
            </w:pPr>
            <w:r>
              <w:rPr>
                <w:color w:val="25323A"/>
              </w:rPr>
              <w:t xml:space="preserve">Certificate and submission packs</w:t>
            </w:r>
          </w:p>
        </w:tc>
        <w:tc>
          <w:tcPr>
            <w:tcW w:w="6900" w:type="dxa"/>
          </w:tcPr>
          <w:p>
            <w:pPr>
              <w:pStyle w:val="TableText"/>
            </w:pPr>
            <w:r>
              <w:rPr>
                <w:color w:val="25323A"/>
              </w:rPr>
              <w:t xml:space="preserve">Compile technical records for procurement, customer review, internal quality release or submission to the responsible statutory consultant, recognized laboratory or authority.</w:t>
            </w:r>
          </w:p>
        </w:tc>
      </w:tr>
    </w:tbl>
    <w:p>
      <w:pPr>
        <w:pStyle w:val="Heading1"/>
        <w:keepNext/>
      </w:pPr>
      <w:r>
        <w:t xml:space="preserve">4. Standards, codes and government guidance</w:t>
      </w:r>
    </w:p>
    <w:p>
      <w:pPr>
        <w:pStyle w:val="Normal"/>
      </w:pPr>
      <w:r>
        <w:t xml:space="preserve">The following references are commonly relevant to this service. The controlling edition, amendment, method, authority requirement and contract specification must be checked before issue or execution.</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600"/>
        <w:gridCol w:w="7300"/>
      </w:tblGrid>
      <w:tr>
        <w:tc>
          <w:tcPr>
            <w:tcW w:w="2600" w:type="dxa"/>
            <w:shd w:fill="193B4A"/>
          </w:tcPr>
          <w:p>
            <w:pPr>
              <w:pStyle w:val="TableHeader"/>
            </w:pPr>
            <w:r>
              <w:rPr>
                <w:color w:val="FFFFFF"/>
              </w:rPr>
              <w:t xml:space="preserve">Reference area</w:t>
            </w:r>
          </w:p>
        </w:tc>
        <w:tc>
          <w:tcPr>
            <w:tcW w:w="7300" w:type="dxa"/>
            <w:shd w:fill="193B4A"/>
          </w:tcPr>
          <w:p>
            <w:pPr>
              <w:pStyle w:val="TableHeader"/>
            </w:pPr>
            <w:r>
              <w:rPr>
                <w:color w:val="FFFFFF"/>
              </w:rPr>
              <w:t xml:space="preserve">Applicable references and use</w:t>
            </w:r>
          </w:p>
        </w:tc>
      </w:tr>
      <w:tr>
        <w:tc>
          <w:tcPr>
            <w:tcW w:w="2600" w:type="dxa"/>
          </w:tcPr>
          <w:p>
            <w:pPr>
              <w:pStyle w:val="TableText"/>
            </w:pPr>
            <w:r>
              <w:rPr>
                <w:color w:val="25323A"/>
              </w:rPr>
              <w:t xml:space="preserve">Water</w:t>
            </w:r>
          </w:p>
        </w:tc>
        <w:tc>
          <w:tcPr>
            <w:tcW w:w="7300" w:type="dxa"/>
          </w:tcPr>
          <w:p>
            <w:pPr>
              <w:pStyle w:val="TableText"/>
            </w:pPr>
            <w:r>
              <w:rPr>
                <w:color w:val="25323A"/>
              </w:rPr>
              <w:t xml:space="preserve">IS 3025 series for applicable water and wastewater parameters, IS 10500 for drinking water, and IS 14543 or IS 13428 where the packaged-water product and regulatory pathway apply.</w:t>
            </w:r>
          </w:p>
        </w:tc>
      </w:tr>
      <w:tr>
        <w:tc>
          <w:tcPr>
            <w:tcW w:w="2600" w:type="dxa"/>
          </w:tcPr>
          <w:p>
            <w:pPr>
              <w:pStyle w:val="TableText"/>
            </w:pPr>
            <w:r>
              <w:rPr>
                <w:color w:val="25323A"/>
              </w:rPr>
              <w:t xml:space="preserve">Paints and materials</w:t>
            </w:r>
          </w:p>
        </w:tc>
        <w:tc>
          <w:tcPr>
            <w:tcW w:w="7300" w:type="dxa"/>
          </w:tcPr>
          <w:p>
            <w:pPr>
              <w:pStyle w:val="TableText"/>
            </w:pPr>
            <w:r>
              <w:rPr>
                <w:color w:val="25323A"/>
              </w:rPr>
              <w:t xml:space="preserve">IS 101 series for paints and varnishes, IS 1448 series for petroleum products, IS 228 or IS 1608 for relevant metal questions, and applicable construction-product methods.</w:t>
            </w:r>
          </w:p>
        </w:tc>
      </w:tr>
      <w:tr>
        <w:tc>
          <w:tcPr>
            <w:tcW w:w="2600" w:type="dxa"/>
          </w:tcPr>
          <w:p>
            <w:pPr>
              <w:pStyle w:val="TableText"/>
            </w:pPr>
            <w:r>
              <w:rPr>
                <w:color w:val="25323A"/>
              </w:rPr>
              <w:t xml:space="preserve">Cement and construction chemicals</w:t>
            </w:r>
          </w:p>
        </w:tc>
        <w:tc>
          <w:tcPr>
            <w:tcW w:w="7300" w:type="dxa"/>
          </w:tcPr>
          <w:p>
            <w:pPr>
              <w:pStyle w:val="TableText"/>
            </w:pPr>
            <w:r>
              <w:rPr>
                <w:color w:val="25323A"/>
              </w:rPr>
              <w:t xml:space="preserve">IS 4031, IS 9103, IS 2645 and other product standards where applicable to cement, admixtures, waterproofing compounds or related materials.</w:t>
            </w:r>
          </w:p>
        </w:tc>
      </w:tr>
      <w:tr>
        <w:tc>
          <w:tcPr>
            <w:tcW w:w="2600" w:type="dxa"/>
          </w:tcPr>
          <w:p>
            <w:pPr>
              <w:pStyle w:val="TableText"/>
            </w:pPr>
            <w:r>
              <w:rPr>
                <w:color w:val="25323A"/>
              </w:rPr>
              <w:t xml:space="preserve">Packaging and product conformity</w:t>
            </w:r>
          </w:p>
        </w:tc>
        <w:tc>
          <w:tcPr>
            <w:tcW w:w="7300" w:type="dxa"/>
          </w:tcPr>
          <w:p>
            <w:pPr>
              <w:pStyle w:val="TableText"/>
            </w:pPr>
            <w:r>
              <w:rPr>
                <w:color w:val="25323A"/>
              </w:rPr>
              <w:t xml:space="preserve">IS 9845 where relevant to overall migration, current BIS product standards, Quality Control Orders and Schemes of Testing and Inspection for the specific product.</w:t>
            </w:r>
          </w:p>
        </w:tc>
      </w:tr>
      <w:tr>
        <w:tc>
          <w:tcPr>
            <w:tcW w:w="2600" w:type="dxa"/>
          </w:tcPr>
          <w:p>
            <w:pPr>
              <w:pStyle w:val="TableText"/>
            </w:pPr>
            <w:r>
              <w:rPr>
                <w:color w:val="25323A"/>
              </w:rPr>
              <w:t xml:space="preserve">Food, water and consumer products</w:t>
            </w:r>
          </w:p>
        </w:tc>
        <w:tc>
          <w:tcPr>
            <w:tcW w:w="7300" w:type="dxa"/>
          </w:tcPr>
          <w:p>
            <w:pPr>
              <w:pStyle w:val="TableText"/>
            </w:pPr>
            <w:r>
              <w:rPr>
                <w:color w:val="25323A"/>
              </w:rPr>
              <w:t xml:space="preserve">FSSAI regulations, Legal Metrology requirements, CDSCO or other product-specific rules only when the product, intended use and regulatory pathway trigger them.</w:t>
            </w:r>
          </w:p>
        </w:tc>
      </w:tr>
      <w:tr>
        <w:tc>
          <w:tcPr>
            <w:tcW w:w="2600" w:type="dxa"/>
          </w:tcPr>
          <w:p>
            <w:pPr>
              <w:pStyle w:val="TableText"/>
            </w:pPr>
            <w:r>
              <w:rPr>
                <w:color w:val="25323A"/>
              </w:rPr>
              <w:t xml:space="preserve">Chemicals and environment</w:t>
            </w:r>
          </w:p>
        </w:tc>
        <w:tc>
          <w:tcPr>
            <w:tcW w:w="7300" w:type="dxa"/>
          </w:tcPr>
          <w:p>
            <w:pPr>
              <w:pStyle w:val="TableText"/>
            </w:pPr>
            <w:r>
              <w:rPr>
                <w:color w:val="25323A"/>
              </w:rPr>
              <w:t xml:space="preserve">MSIHC Rules, Chemical Accidents Rules, CPCB standards, MPPCB consent conditions and applicable waste or EPR requirements for regulated chemical work.</w:t>
            </w:r>
          </w:p>
        </w:tc>
      </w:tr>
      <w:tr>
        <w:tc>
          <w:tcPr>
            <w:tcW w:w="2600" w:type="dxa"/>
          </w:tcPr>
          <w:p>
            <w:pPr>
              <w:pStyle w:val="TableText"/>
            </w:pPr>
            <w:r>
              <w:rPr>
                <w:color w:val="25323A"/>
              </w:rPr>
              <w:t xml:space="preserve">Accredited testing</w:t>
            </w:r>
          </w:p>
        </w:tc>
        <w:tc>
          <w:tcPr>
            <w:tcW w:w="7300" w:type="dxa"/>
          </w:tcPr>
          <w:p>
            <w:pPr>
              <w:pStyle w:val="TableText"/>
            </w:pPr>
            <w:r>
              <w:rPr>
                <w:color w:val="25323A"/>
              </w:rPr>
              <w:t xml:space="preserve">ISO/IEC 17025 and the exact accredited scope where an accredited result is specified. ACE accreditation is not implied by this guide.</w:t>
            </w:r>
          </w:p>
        </w:tc>
      </w:tr>
    </w:tbl>
    <w:p>
      <w:pPr>
        <w:pStyle w:val="Heading1"/>
        <w:keepNext/>
      </w:pPr>
      <w:r>
        <w:t xml:space="preserve">5. Target clients and project types</w:t>
      </w:r>
    </w:p>
    <w:p>
      <w:pPr>
        <w:pStyle w:val="Normal"/>
      </w:pPr>
      <w:r>
        <w:t xml:space="preserve">This service is suited to the following client groups and project situations, subject to the agreed scope and procurement route:</w:t>
      </w:r>
    </w:p>
    <w:p>
      <w:pPr>
        <w:pStyle w:val="ListParagraph"/>
        <w:numPr>
          <w:ilvl w:val="0"/>
          <w:numId w:val="1"/>
        </w:numPr>
      </w:pPr>
      <w:r>
        <w:t xml:space="preserve">Chemical, formulation, pharmaceutical and process-material manufacturers.</w:t>
      </w:r>
    </w:p>
    <w:p>
      <w:pPr>
        <w:pStyle w:val="ListParagraph"/>
        <w:numPr>
          <w:ilvl w:val="0"/>
          <w:numId w:val="1"/>
        </w:numPr>
      </w:pPr>
      <w:r>
        <w:t xml:space="preserve">Paint, coating, adhesive, sealant, polymer, rubber and packaging producers.</w:t>
      </w:r>
    </w:p>
    <w:p>
      <w:pPr>
        <w:pStyle w:val="ListParagraph"/>
        <w:numPr>
          <w:ilvl w:val="0"/>
          <w:numId w:val="1"/>
        </w:numPr>
      </w:pPr>
      <w:r>
        <w:t xml:space="preserve">Cement, concrete, admixture, waterproofing and construction-product suppliers.</w:t>
      </w:r>
    </w:p>
    <w:p>
      <w:pPr>
        <w:pStyle w:val="ListParagraph"/>
        <w:numPr>
          <w:ilvl w:val="0"/>
          <w:numId w:val="1"/>
        </w:numPr>
      </w:pPr>
      <w:r>
        <w:t xml:space="preserve">Fuel, lubricant, water-treatment and wastewater-treatment operators.</w:t>
      </w:r>
    </w:p>
    <w:p>
      <w:pPr>
        <w:pStyle w:val="ListParagraph"/>
        <w:numPr>
          <w:ilvl w:val="0"/>
          <w:numId w:val="1"/>
        </w:numPr>
      </w:pPr>
      <w:r>
        <w:t xml:space="preserve">Procurement, R&amp;D, QA/QC, vendor-qualification and customer-complaint teams.</w:t>
      </w:r>
    </w:p>
    <w:p>
      <w:pPr>
        <w:pStyle w:val="ListParagraph"/>
        <w:numPr>
          <w:ilvl w:val="0"/>
          <w:numId w:val="1"/>
        </w:numPr>
      </w:pPr>
      <w:r>
        <w:t xml:space="preserve">Food, packaged-water and consumer-product businesses using the appropriate recognized laboratory pathway.</w:t>
      </w:r>
    </w:p>
    <w:p>
      <w:pPr>
        <w:pStyle w:val="ListParagraph"/>
        <w:numPr>
          <w:ilvl w:val="0"/>
          <w:numId w:val="1"/>
        </w:numPr>
      </w:pPr>
      <w:r>
        <w:t xml:space="preserve">Industrial projects needing connected civil, chemical and environmental sampling.</w:t>
      </w:r>
    </w:p>
    <w:p>
      <w:pPr>
        <w:pStyle w:val="Heading1"/>
        <w:keepNext/>
      </w:pPr>
      <w:r>
        <w:t xml:space="preserve">6. Delivery workflow</w:t>
      </w:r>
    </w:p>
    <w:p>
      <w:pPr>
        <w:pStyle w:val="Normal"/>
      </w:pPr>
      <w:r>
        <w:t xml:space="preserve">A clear brief and traceable records reduce rework. A typical engagement follows these steps:</w:t>
      </w:r>
    </w:p>
    <w:p>
      <w:pPr>
        <w:pStyle w:val="ListParagraph"/>
        <w:numPr>
          <w:ilvl w:val="0"/>
          <w:numId w:val="2"/>
        </w:numPr>
      </w:pPr>
      <w:r>
        <w:t xml:space="preserve">Define the decision, product or material, intended use, batch or lot, sample quantity and required reporting or certificate format.</w:t>
      </w:r>
    </w:p>
    <w:p>
      <w:pPr>
        <w:pStyle w:val="ListParagraph"/>
        <w:numPr>
          <w:ilvl w:val="0"/>
          <w:numId w:val="2"/>
        </w:numPr>
      </w:pPr>
      <w:r>
        <w:t xml:space="preserve">Select the applicable method, specification, preservation, sampling point, chain-of-custody process and recognized-laboratory requirement.</w:t>
      </w:r>
    </w:p>
    <w:p>
      <w:pPr>
        <w:pStyle w:val="ListParagraph"/>
        <w:numPr>
          <w:ilvl w:val="0"/>
          <w:numId w:val="2"/>
        </w:numPr>
      </w:pPr>
      <w:r>
        <w:t xml:space="preserve">Collect or receive representative samples with condition, identity, date, location and custody records.</w:t>
      </w:r>
    </w:p>
    <w:p>
      <w:pPr>
        <w:pStyle w:val="ListParagraph"/>
        <w:numPr>
          <w:ilvl w:val="0"/>
          <w:numId w:val="2"/>
        </w:numPr>
      </w:pPr>
      <w:r>
        <w:t xml:space="preserve">Confirm facility and method suitability before testing, especially where an accredited, notified or regulatory result is required.</w:t>
      </w:r>
    </w:p>
    <w:p>
      <w:pPr>
        <w:pStyle w:val="ListParagraph"/>
        <w:numPr>
          <w:ilvl w:val="0"/>
          <w:numId w:val="2"/>
        </w:numPr>
      </w:pPr>
      <w:r>
        <w:t xml:space="preserve">Test or coordinate the agreed method, record quality controls and review the result against the specification or decision criterion.</w:t>
      </w:r>
    </w:p>
    <w:p>
      <w:pPr>
        <w:pStyle w:val="ListParagraph"/>
        <w:numPr>
          <w:ilvl w:val="0"/>
          <w:numId w:val="2"/>
        </w:numPr>
      </w:pPr>
      <w:r>
        <w:t xml:space="preserve">Issue the technical report or certificate pack with units, detection limits, deviations, limitations and authorized review.</w:t>
      </w:r>
    </w:p>
    <w:p>
      <w:pPr>
        <w:pStyle w:val="ListParagraph"/>
        <w:numPr>
          <w:ilvl w:val="0"/>
          <w:numId w:val="2"/>
        </w:numPr>
      </w:pPr>
      <w:r>
        <w:t xml:space="preserve">Support procurement, batch release, complaint, NCR, supplier-qualification or statutory-consultant follow-up as scoped.</w:t>
      </w:r>
    </w:p>
    <w:p>
      <w:pPr>
        <w:pStyle w:val="Heading1"/>
        <w:keepNext/>
      </w:pPr>
      <w:r>
        <w:t xml:space="preserve">7. Typical deliverables</w:t>
      </w:r>
    </w:p>
    <w:p>
      <w:pPr>
        <w:pStyle w:val="ListParagraph"/>
        <w:numPr>
          <w:ilvl w:val="0"/>
          <w:numId w:val="1"/>
        </w:numPr>
      </w:pPr>
      <w:r>
        <w:t xml:space="preserve">Sampling plan, sample register and chain-of-custody records.</w:t>
      </w:r>
    </w:p>
    <w:p>
      <w:pPr>
        <w:pStyle w:val="ListParagraph"/>
        <w:numPr>
          <w:ilvl w:val="0"/>
          <w:numId w:val="1"/>
        </w:numPr>
      </w:pPr>
      <w:r>
        <w:t xml:space="preserve">Water, wastewater, chemical, raw-material and product test reports.</w:t>
      </w:r>
    </w:p>
    <w:p>
      <w:pPr>
        <w:pStyle w:val="ListParagraph"/>
        <w:numPr>
          <w:ilvl w:val="0"/>
          <w:numId w:val="1"/>
        </w:numPr>
      </w:pPr>
      <w:r>
        <w:t xml:space="preserve">Specification comparison, batch-release, supplier-qualification or complaint-investigation notes.</w:t>
      </w:r>
    </w:p>
    <w:p>
      <w:pPr>
        <w:pStyle w:val="ListParagraph"/>
        <w:numPr>
          <w:ilvl w:val="0"/>
          <w:numId w:val="1"/>
        </w:numPr>
      </w:pPr>
      <w:r>
        <w:t xml:space="preserve">Method-selection, laboratory-coordination and accredited-scope confirmation records.</w:t>
      </w:r>
    </w:p>
    <w:p>
      <w:pPr>
        <w:pStyle w:val="ListParagraph"/>
        <w:numPr>
          <w:ilvl w:val="0"/>
          <w:numId w:val="1"/>
        </w:numPr>
      </w:pPr>
      <w:r>
        <w:t xml:space="preserve">Technical certificate packs for procurement, customer review or statutory-consultant submission.</w:t>
      </w:r>
    </w:p>
    <w:p>
      <w:pPr>
        <w:pStyle w:val="ListParagraph"/>
        <w:numPr>
          <w:ilvl w:val="0"/>
          <w:numId w:val="1"/>
        </w:numPr>
      </w:pPr>
      <w:r>
        <w:t xml:space="preserve">Result interpretation, non-conformance and corrective-action support where included.</w:t>
      </w:r>
    </w:p>
    <w:p>
      <w:pPr>
        <w:pStyle w:val="Heading1"/>
        <w:keepNext/>
      </w:pPr>
      <w:r>
        <w:t xml:space="preserve">8. Benefits and decision value</w:t>
      </w:r>
    </w:p>
    <w:p>
      <w:pPr>
        <w:pStyle w:val="ListParagraph"/>
        <w:numPr>
          <w:ilvl w:val="0"/>
          <w:numId w:val="1"/>
        </w:numPr>
      </w:pPr>
      <w:r>
        <w:t xml:space="preserve">Earlier detection of contamination, formulation drift, degradation or raw-material variation.</w:t>
      </w:r>
    </w:p>
    <w:p>
      <w:pPr>
        <w:pStyle w:val="ListParagraph"/>
        <w:numPr>
          <w:ilvl w:val="0"/>
          <w:numId w:val="1"/>
        </w:numPr>
      </w:pPr>
      <w:r>
        <w:t xml:space="preserve">Fewer retests caused by incomplete sampling briefs, wrong methods or missing batch identity.</w:t>
      </w:r>
    </w:p>
    <w:p>
      <w:pPr>
        <w:pStyle w:val="ListParagraph"/>
        <w:numPr>
          <w:ilvl w:val="0"/>
          <w:numId w:val="1"/>
        </w:numPr>
      </w:pPr>
      <w:r>
        <w:t xml:space="preserve">Specifications that purchasing, plant, QA and customer teams can interpret consistently.</w:t>
      </w:r>
    </w:p>
    <w:p>
      <w:pPr>
        <w:pStyle w:val="ListParagraph"/>
        <w:numPr>
          <w:ilvl w:val="0"/>
          <w:numId w:val="1"/>
        </w:numPr>
      </w:pPr>
      <w:r>
        <w:t xml:space="preserve">More useful evidence for complaints, NCRs, supplier qualification and batch release.</w:t>
      </w:r>
    </w:p>
    <w:p>
      <w:pPr>
        <w:pStyle w:val="ListParagraph"/>
        <w:numPr>
          <w:ilvl w:val="0"/>
          <w:numId w:val="1"/>
        </w:numPr>
      </w:pPr>
      <w:r>
        <w:t xml:space="preserve">A clear escalation path when a notified, recognized or accredited laboratory is required.</w:t>
      </w:r>
    </w:p>
    <w:p>
      <w:pPr>
        <w:pStyle w:val="ListParagraph"/>
        <w:numPr>
          <w:ilvl w:val="0"/>
          <w:numId w:val="1"/>
        </w:numPr>
      </w:pPr>
      <w:r>
        <w:t xml:space="preserve">Connected technical files when chemical, civil and environmental questions share the same project.</w:t>
      </w:r>
    </w:p>
    <w:p>
      <w:pPr>
        <w:pStyle w:val="Heading1"/>
        <w:keepNext/>
      </w:pPr>
      <w:r>
        <w:t xml:space="preserve">9. Responsibilities and claim boundaries</w:t>
      </w:r>
    </w:p>
    <w:p>
      <w:pPr>
        <w:pStyle w:val="ListParagraph"/>
        <w:numPr>
          <w:ilvl w:val="0"/>
          <w:numId w:val="1"/>
        </w:numPr>
      </w:pPr>
      <w:r>
        <w:t xml:space="preserve">A test report documents the agreed sample and method; it does not itself provide a BIS licence, product certification, FSSAI approval, statutory consent or accreditation.</w:t>
      </w:r>
    </w:p>
    <w:p>
      <w:pPr>
        <w:pStyle w:val="ListParagraph"/>
        <w:numPr>
          <w:ilvl w:val="0"/>
          <w:numId w:val="1"/>
        </w:numPr>
      </w:pPr>
      <w:r>
        <w:t xml:space="preserve">The exact parameter, method, detection limit, sample quantity, facility and accreditation status must be confirmed before work begins.</w:t>
      </w:r>
    </w:p>
    <w:p>
      <w:pPr>
        <w:pStyle w:val="ListParagraph"/>
        <w:numPr>
          <w:ilvl w:val="0"/>
          <w:numId w:val="1"/>
        </w:numPr>
      </w:pPr>
      <w:r>
        <w:t xml:space="preserve">Results represent the sample received and may not represent a batch or process if sampling is not representative or traceable.</w:t>
      </w:r>
    </w:p>
    <w:p>
      <w:pPr>
        <w:pStyle w:val="ListParagraph"/>
        <w:numPr>
          <w:ilvl w:val="0"/>
          <w:numId w:val="1"/>
        </w:numPr>
      </w:pPr>
      <w:r>
        <w:t xml:space="preserve">Regulated product, food, drug, medical-device, packaged-water and chemical submissions may require separate recognized, notified or authority pathways.</w:t>
      </w:r>
    </w:p>
    <w:p>
      <w:pPr>
        <w:pStyle w:val="ListParagraph"/>
        <w:numPr>
          <w:ilvl w:val="0"/>
          <w:numId w:val="1"/>
        </w:numPr>
      </w:pPr>
      <w:r>
        <w:t xml:space="preserve">Interpretation against safety, release or statutory limits should be performed by the responsible technical or regulatory authority named for the assignment.</w:t>
      </w:r>
    </w:p>
    <w:p>
      <w:pPr>
        <w:pStyle w:val="Heading1"/>
        <w:keepNext/>
      </w:pPr>
      <w:r>
        <w:t xml:space="preserve">10. Frequently asked questions</w:t>
      </w:r>
    </w:p>
    <w:p>
      <w:pPr>
        <w:pStyle w:val="Heading3"/>
        <w:keepNext/>
      </w:pPr>
      <w:r>
        <w:t xml:space="preserve">How should a product-testing request be prepared?</w:t>
      </w:r>
    </w:p>
    <w:p>
      <w:pPr>
        <w:pStyle w:val="Normal"/>
      </w:pPr>
      <w:r>
        <w:t xml:space="preserve">Share the product description, batch or lot identity, specification, intended use, required method, sample quantity and certificate format before the sample is dispatched.</w:t>
      </w:r>
    </w:p>
    <w:p>
      <w:pPr>
        <w:pStyle w:val="Heading3"/>
        <w:keepNext/>
      </w:pPr>
      <w:r>
        <w:t xml:space="preserve">Can chemical testing be combined with civil or environmental work?</w:t>
      </w:r>
    </w:p>
    <w:p>
      <w:pPr>
        <w:pStyle w:val="Normal"/>
      </w:pPr>
      <w:r>
        <w:t xml:space="preserve">Yes. A combined brief can coordinate water, process, product, civil and environmental testing so that sampling, locations and reporting assumptions remain connected.</w:t>
      </w:r>
    </w:p>
    <w:p>
      <w:pPr>
        <w:pStyle w:val="Heading3"/>
        <w:keepNext/>
      </w:pPr>
      <w:r>
        <w:t xml:space="preserve">Does a test report provide BIS certification?</w:t>
      </w:r>
    </w:p>
    <w:p>
      <w:pPr>
        <w:pStyle w:val="Normal"/>
      </w:pPr>
      <w:r>
        <w:t xml:space="preserve">No. A test report documents the agreed results. BIS licensing, registration, notified-laboratory testing or other product-conformity steps remain separate requirements for the specific product and scheme.</w:t>
      </w:r>
    </w:p>
    <w:p>
      <w:pPr>
        <w:pStyle w:val="Heading3"/>
        <w:keepNext/>
      </w:pPr>
      <w:r>
        <w:t xml:space="preserve">Can a laboratory test prove that a product is legally saleable?</w:t>
      </w:r>
    </w:p>
    <w:p>
      <w:pPr>
        <w:pStyle w:val="Normal"/>
      </w:pPr>
      <w:r>
        <w:t xml:space="preserve">Not by itself. Saleability depends on the product, intended use, labelling, licensing, conformity and regulatory requirements applicable to that market and authority.</w:t>
      </w:r>
    </w:p>
    <w:p>
      <w:pPr>
        <w:pStyle w:val="Heading1"/>
        <w:keepNext/>
      </w:pPr>
      <w:r>
        <w:t xml:space="preserve">11. Suggested copyright-free image direction</w:t>
      </w:r>
    </w:p>
    <w:p>
      <w:pPr>
        <w:pStyle w:val="Normal"/>
      </w:pPr>
      <w:r>
        <w:t xml:space="preserve">Use original photography or verify the individual licence before publishing. Unsplash and Pexels are useful search sources, but the licence of the exact asset should still be checked.</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900"/>
        <w:gridCol w:w="7000"/>
      </w:tblGrid>
      <w:tr>
        <w:tc>
          <w:tcPr>
            <w:tcW w:w="2900" w:type="dxa"/>
            <w:shd w:fill="193B4A"/>
          </w:tcPr>
          <w:p>
            <w:pPr>
              <w:pStyle w:val="TableHeader"/>
            </w:pPr>
            <w:r>
              <w:rPr>
                <w:color w:val="FFFFFF"/>
              </w:rPr>
              <w:t xml:space="preserve">Image subject</w:t>
            </w:r>
          </w:p>
        </w:tc>
        <w:tc>
          <w:tcPr>
            <w:tcW w:w="7000" w:type="dxa"/>
            <w:shd w:fill="193B4A"/>
          </w:tcPr>
          <w:p>
            <w:pPr>
              <w:pStyle w:val="TableHeader"/>
            </w:pPr>
            <w:r>
              <w:rPr>
                <w:color w:val="FFFFFF"/>
              </w:rPr>
              <w:t xml:space="preserve">Description and search keywords</w:t>
            </w:r>
          </w:p>
        </w:tc>
      </w:tr>
      <w:tr>
        <w:tc>
          <w:tcPr>
            <w:tcW w:w="2900" w:type="dxa"/>
          </w:tcPr>
          <w:p>
            <w:pPr>
              <w:pStyle w:val="TableText"/>
            </w:pPr>
            <w:r>
              <w:rPr>
                <w:color w:val="25323A"/>
              </w:rPr>
              <w:t xml:space="preserve">Analytical chemistry sample preparation</w:t>
            </w:r>
          </w:p>
        </w:tc>
        <w:tc>
          <w:tcPr>
            <w:tcW w:w="7000" w:type="dxa"/>
          </w:tcPr>
          <w:p>
            <w:pPr>
              <w:pStyle w:val="TableText"/>
            </w:pPr>
            <w:r>
              <w:rPr>
                <w:color w:val="25323A"/>
              </w:rPr>
              <w:t xml:space="preserve">A technician preparing labelled water or process samples at an analytical bench, with Indian laboratory context and no visible confidential results. Search keywords: analytical chemistry laboratory sample bottles India water testing</w:t>
            </w:r>
          </w:p>
        </w:tc>
      </w:tr>
      <w:tr>
        <w:tc>
          <w:tcPr>
            <w:tcW w:w="2900" w:type="dxa"/>
          </w:tcPr>
          <w:p>
            <w:pPr>
              <w:pStyle w:val="TableText"/>
            </w:pPr>
            <w:r>
              <w:rPr>
                <w:color w:val="25323A"/>
              </w:rPr>
              <w:t xml:space="preserve">Industrial product quality check</w:t>
            </w:r>
          </w:p>
        </w:tc>
        <w:tc>
          <w:tcPr>
            <w:tcW w:w="7000" w:type="dxa"/>
          </w:tcPr>
          <w:p>
            <w:pPr>
              <w:pStyle w:val="TableText"/>
            </w:pPr>
            <w:r>
              <w:rPr>
                <w:color w:val="25323A"/>
              </w:rPr>
              <w:t xml:space="preserve">Paint, coating or construction-chemical samples being checked beside a calibrated instrument and batch labels in a practical QA setting. Search keywords: paint coating product testing laboratory quality control India</w:t>
            </w:r>
          </w:p>
        </w:tc>
      </w:tr>
    </w:tbl>
    <w:p>
      <w:pPr>
        <w:pStyle w:val="Heading1"/>
        <w:keepNext/>
      </w:pPr>
      <w:r>
        <w:t xml:space="preserve">12. Official source register</w:t>
      </w:r>
    </w:p>
    <w:p>
      <w:pPr>
        <w:pStyle w:val="Normal"/>
      </w:pPr>
      <w:r>
        <w:t xml:space="preserve">The source families below should be checked against the latest official publication, notification or portal before using this guide for a tender, regulatory submission or contractual commitment.</w:t>
      </w:r>
    </w:p>
    <w:p>
      <w:pPr>
        <w:pStyle w:val="Small"/>
      </w:pPr>
      <w:r>
        <w:t xml:space="preserve">Bureau of Indian Standards: https://www.bis.gov.in/</w:t>
      </w:r>
    </w:p>
    <w:p>
      <w:pPr>
        <w:pStyle w:val="Small"/>
      </w:pPr>
      <w:r>
        <w:t xml:space="preserve">BIS published standards: https://standards.bis.gov.in/website/published-standards/department-wise</w:t>
      </w:r>
    </w:p>
    <w:p>
      <w:pPr>
        <w:pStyle w:val="Small"/>
      </w:pPr>
      <w:r>
        <w:t xml:space="preserve">NABL: https://nabl-india.org/</w:t>
      </w:r>
    </w:p>
    <w:p>
      <w:pPr>
        <w:pStyle w:val="Small"/>
      </w:pPr>
      <w:r>
        <w:t xml:space="preserve">FSSAI regulations: https://www.fssai.gov.in/cms/food-safety-and-standards-regulations.php</w:t>
      </w:r>
    </w:p>
    <w:p>
      <w:pPr>
        <w:pStyle w:val="Small"/>
      </w:pPr>
      <w:r>
        <w:t xml:space="preserve">Legal Metrology, Department of Consumer Affairs: https://consumeraffairs.nic.in/legal-metrology</w:t>
      </w:r>
    </w:p>
    <w:p>
      <w:pPr>
        <w:pStyle w:val="Small"/>
      </w:pPr>
      <w:r>
        <w:t xml:space="preserve">CDSCO Acts and Rules: https://cdsco.gov.in/opencms/opencms/en/Acts-Rules/</w:t>
      </w:r>
    </w:p>
    <w:p>
      <w:pPr>
        <w:pStyle w:val="Small"/>
      </w:pPr>
      <w:r>
        <w:t xml:space="preserve">Central Pollution Control Board: https://cpcb.nic.in/</w:t>
      </w:r>
    </w:p>
    <w:p>
      <w:pPr>
        <w:pStyle w:val="Heading1"/>
        <w:keepNext/>
      </w:pPr>
      <w:r>
        <w:t xml:space="preserve">13. Conclusion</w:t>
      </w:r>
    </w:p>
    <w:p>
      <w:pPr>
        <w:pStyle w:val="Normal"/>
      </w:pPr>
      <w:r>
        <w:t xml:space="preserve">Chemical and product testing is strongest when the commercial or technical decision is defined before the sample is taken. The method, specification, representative sample and reporting pathway should all point to the same decision.</w:t>
      </w:r>
    </w:p>
    <w:p>
      <w:pPr>
        <w:pStyle w:val="Normal"/>
      </w:pPr>
      <w:r>
        <w:t xml:space="preserve">Before dispatch, the client should confirm the product or material, batch identity, intended use, sample quantity, preservation, method, acceptance criterion, accreditation need and certificate format.</w:t>
      </w:r>
    </w:p>
    <w:sectPr>
      <w:headerReference xmlns:r="http://schemas.openxmlformats.org/officeDocument/2006/relationships" w:type="default" r:id="rId4"/>
      <w:footerReference xmlns:r="http://schemas.openxmlformats.org/officeDocument/2006/relationships" w:type="default" r:id="rId5"/>
      <w:pgSz w:w="11906" w:h="16838"/>
      <w:pgMar w:top="1080" w:right="1080" w:bottom="1080" w:left="1080" w:header="540" w:footer="540" w:gutter="0"/>
      <w:cols w:space="720"/>
      <w:docGrid w:linePitch="360"/>
    </w:sectPr>
  </w:body>
</w:document>
</file>

<file path=word/footer1.xml><?xml version="1.0" encoding="utf-8"?>
<w:ftr xmlns:w="http://schemas.openxmlformats.org/wordprocessingml/2006/main" xmlns:r="http://schemas.openxmlformats.org/officeDocument/2006/relationships">
  <w:p>
    <w:pPr>
      <w:pStyle w:val="Footer"/>
    </w:pPr>
    <w:r>
      <w:rPr>
        <w:color w:val="6B7478"/>
        <w:sz w:val="16"/>
        <w:szCs w:val="16"/>
      </w:rPr>
      <w:t xml:space="preserve">ACE  |  Detailed service guide  |  </w:t>
    </w:r>
    <w:fldSimple w:instr="PAGE">
      <w:r>
        <w:rPr>
          <w:color w:val="6B7478"/>
          <w:sz w:val="16"/>
        </w:rPr>
      </w:r>
    </w:fldSimple>
  </w:p>
</w:ftr>
</file>

<file path=word/header1.xml><?xml version="1.0" encoding="utf-8"?>
<w:hdr xmlns:w="http://schemas.openxmlformats.org/wordprocessingml/2006/main">
  <w:p>
    <w:pPr>
      <w:pStyle w:val="Header"/>
    </w:pPr>
    <w:r>
      <w:rPr>
        <w:b/>
        <w:color w:val="193B4A"/>
        <w:sz w:val="18"/>
        <w:szCs w:val="18"/>
      </w:rPr>
      <w:t xml:space="preserve">ACE  |  Anay Consultants &amp; Engineers</w:t>
    </w:r>
    <w:r>
      <w:rPr>
        <w:color w:val="8A5A2B"/>
        <w:sz w:val="16"/>
        <w:szCs w:val="16"/>
      </w:rPr>
      <w:t xml:space="preserve">  •  Engineering Data You Can Build On.</w:t>
    </w: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420" w:hanging="220"/>
      </w:pPr>
      <w:rPr>
        <w:rFonts w:ascii="Arial" w:hAnsi="Arial"/>
      </w:rPr>
    </w:lvl>
  </w:abstractNum>
  <w:abstractNum w:abstractNumId="1">
    <w:multiLevelType w:val="singleLevel"/>
    <w:lvl w:ilvl="0">
      <w:start w:val="1"/>
      <w:numFmt w:val="decimal"/>
      <w:lvlText w:val="%1."/>
      <w:lvlJc w:val="left"/>
      <w:pPr>
        <w:ind w:left="420" w:hanging="220"/>
      </w:pPr>
    </w:lvl>
  </w:abstractNum>
  <w:num w:numId="1">
    <w:abstractNumId w:val="0"/>
  </w:num>
  <w:num w:numId="2">
    <w:abstractNumId w:val="1"/>
  </w:num>
</w:numbering>
</file>

<file path=word/settings.xml><?xml version="1.0" encoding="utf-8"?>
<w:settings xmlns:w="http://schemas.openxmlformats.org/wordprocessingml/2006/main">
  <w:zoom w:percent="100"/>
  <w:defaultTabStop w:val="720"/>
  <w:themeFontLang w:val="en-IN"/>
  <w:compat/>
  <w:doNotTrackFormatting/>
</w:settings>
</file>

<file path=word/styles.xml><?xml version="1.0" encoding="utf-8"?>
<w:styles xmlns:w="http://schemas.openxmlformats.org/wordprocessingml/2006/main">
  <w:docDefaults>
    <w:rPrDefault>
      <w:rPr>
        <w:rFonts w:ascii="Aptos" w:hAnsi="Aptos"/>
        <w:sz w:val="22"/>
        <w:szCs w:val="22"/>
        <w:color w:val="25323A"/>
      </w:rPr>
    </w:rPrDefault>
    <w:pPrDefault>
      <w:pPr>
        <w:spacing w:after="140" w:line="276" w:lineRule="auto"/>
      </w:pPr>
    </w:pPrDefault>
  </w:docDefaults>
  <w:style w:type="paragraph" w:default="1" w:styleId="Normal">
    <w:name w:val="Normal"/>
    <w:qFormat/>
  </w:style>
  <w:style w:type="paragraph" w:styleId="Title">
    <w:name w:val="Title"/>
    <w:basedOn w:val="Normal"/>
    <w:next w:val="Subtitle"/>
    <w:qFormat/>
    <w:pPr>
      <w:jc w:val="left"/>
      <w:spacing w:before="480" w:after="180"/>
    </w:pPr>
    <w:rPr>
      <w:rFonts w:ascii="Aptos Display" w:hAnsi="Aptos Display"/>
      <w:b/>
      <w:sz w:val="48"/>
      <w:szCs w:val="48"/>
      <w:color w:val="193B4A"/>
    </w:rPr>
  </w:style>
  <w:style w:type="paragraph" w:styleId="Subtitle">
    <w:name w:val="Subtitle"/>
    <w:basedOn w:val="Normal"/>
    <w:qFormat/>
    <w:pPr>
      <w:spacing w:after="300"/>
    </w:pPr>
    <w:rPr>
      <w:sz w:val="26"/>
      <w:szCs w:val="26"/>
      <w:color w:val="8A5A2B"/>
    </w:rPr>
  </w:style>
  <w:style w:type="paragraph" w:styleId="Heading1">
    <w:name w:val="heading 1"/>
    <w:basedOn w:val="Normal"/>
    <w:next w:val="Normal"/>
    <w:qFormat/>
    <w:pPr>
      <w:keepNext/>
      <w:outlineLvl w:val="0"/>
      <w:spacing w:before="420" w:after="140"/>
    </w:pPr>
    <w:rPr>
      <w:rFonts w:ascii="Aptos Display" w:hAnsi="Aptos Display"/>
      <w:b/>
      <w:sz w:val="31"/>
      <w:szCs w:val="31"/>
      <w:color w:val="193B4A"/>
    </w:rPr>
  </w:style>
  <w:style w:type="paragraph" w:styleId="Heading2">
    <w:name w:val="heading 2"/>
    <w:basedOn w:val="Normal"/>
    <w:next w:val="Normal"/>
    <w:qFormat/>
    <w:pPr>
      <w:keepNext/>
      <w:spacing w:before="260" w:after="100"/>
    </w:pPr>
    <w:rPr>
      <w:b/>
      <w:sz w:val="25"/>
      <w:szCs w:val="25"/>
      <w:color w:val="8A5A2B"/>
    </w:rPr>
  </w:style>
  <w:style w:type="paragraph" w:styleId="Heading3">
    <w:name w:val="heading 3"/>
    <w:basedOn w:val="Normal"/>
    <w:next w:val="Normal"/>
    <w:qFormat/>
    <w:pPr>
      <w:keepNext/>
      <w:spacing w:before="180" w:after="80"/>
    </w:pPr>
    <w:rPr>
      <w:b/>
      <w:sz w:val="22"/>
      <w:szCs w:val="22"/>
      <w:color w:val="193B4A"/>
    </w:rPr>
  </w:style>
  <w:style w:type="paragraph" w:styleId="ListParagraph">
    <w:name w:val="List Paragraph"/>
    <w:basedOn w:val="Normal"/>
    <w:pPr>
      <w:ind w:left="420" w:hanging="220"/>
      <w:spacing w:after="80"/>
    </w:pPr>
  </w:style>
  <w:style w:type="paragraph" w:styleId="Note">
    <w:name w:val="ACE Note"/>
    <w:basedOn w:val="Normal"/>
    <w:pPr>
      <w:shd w:fill="F4EBDD"/>
      <w:ind w:left="180" w:right="180"/>
      <w:spacing w:before="160" w:after="180"/>
    </w:pPr>
    <w:rPr>
      <w:sz w:val="20"/>
      <w:szCs w:val="20"/>
    </w:rPr>
  </w:style>
  <w:style w:type="paragraph" w:styleId="Small">
    <w:name w:val="Small"/>
    <w:basedOn w:val="Normal"/>
    <w:pPr>
      <w:spacing w:after="70"/>
    </w:pPr>
    <w:rPr>
      <w:sz w:val="18"/>
      <w:szCs w:val="18"/>
      <w:color w:val="5A6469"/>
    </w:rPr>
  </w:style>
  <w:style w:type="paragraph" w:styleId="TableText">
    <w:name w:val="Table Text"/>
    <w:basedOn w:val="Normal"/>
    <w:pPr>
      <w:spacing w:after="50" w:line="240" w:lineRule="auto"/>
    </w:pPr>
    <w:rPr>
      <w:sz w:val="18"/>
      <w:szCs w:val="18"/>
    </w:rPr>
  </w:style>
  <w:style w:type="paragraph" w:styleId="TableHeader">
    <w:name w:val="Table Header"/>
    <w:basedOn w:val="Normal"/>
    <w:pPr>
      <w:spacing w:after="50"/>
    </w:pPr>
    <w:rPr>
      <w:b/>
      <w:sz w:val="18"/>
      <w:szCs w:val="18"/>
      <w:color w:val="FFFFFF"/>
    </w:rPr>
  </w:style>
  <w:style w:type="paragraph" w:styleId="Header">
    <w:name w:val="Header"/>
    <w:basedOn w:val="Normal"/>
    <w:pPr>
      <w:pBdr>
        <w:bottom w:val="single" w:sz="6" w:space="6" w:color="D8D1C5"/>
      </w:pBdr>
      <w:spacing w:after="80"/>
    </w:pPr>
  </w:style>
  <w:style w:type="paragraph" w:styleId="Footer">
    <w:name w:val="Footer"/>
    <w:basedOn w:val="Normal"/>
    <w:pPr>
      <w:pBdr>
        <w:top w:val="single" w:sz="6" w:space="6" w:color="D8D1C5"/>
      </w:pBdr>
      <w:jc w:val="right"/>
    </w:pPr>
  </w:style>
  <w:style w:type="table" w:styleId="GuideTable">
    <w:name w:val="ACE Guide Table"/>
    <w:basedOn w:val="TableNormal"/>
    <w:tblPr>
      <w:tblCellMar>
        <w:top w:w="110" w:type="dxa"/>
        <w:start w:w="110" w:type="dxa"/>
        <w:bottom w:w="110" w:type="dxa"/>
        <w:end w:w="110" w:type="dxa"/>
      </w:tblCellMar>
    </w:tbl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header" Target="header1.xml"/>
  <Relationship Id="rId5"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ACE Service Guide Generator</Application>
  <DocSecurity>0</DocSecurity>
  <ScaleCrop>false</ScaleCrop>
  <HeadingPairs/>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&amp; Product Testing</dc:title>
  <dc:creator>Anay Consultants &amp; Engineers</dc:creator>
  <cp:lastModifiedBy>ACE Technical Desk</cp:lastModifiedBy>
  <dcterms:created xsi:type="dcterms:W3CDTF">2026-10-17T00:00:00Z</dcterms:created>
  <dcterms:modified xsi:type="dcterms:W3CDTF">2026-10-17T00:00:00Z</dcterms:modified>
</cp:coreProperties>
</file>